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b w:val="0"/>
        </w:rPr>
        <w:t>Állami korrupciós ügyek gyorsítása AI-támogatással</w:t>
      </w:r>
      <w:bookmarkStart w:id="1" w:name="chapter0"/>
      <w:bookmarkEnd w:id="1"/>
    </w:p>
    <w:p>
      <w:pPr>
        <w:pStyle w:val="Subtitle"/>
      </w:pPr>
      <w:r>
        <w:rPr>
          <w:b/>
        </w:rPr>
        <w:t>Magyar jogi, nyomozati és technológiai döntés-előkészítő munkaanyag</w:t>
      </w:r>
    </w:p>
    <w:p>
      <w:pPr/>
      <w:r>
        <w:rPr>
          <w:b w:val="0"/>
        </w:rPr>
        <w:t xml:space="preserve">Kutatási zárónap: </w:t>
      </w:r>
      <w:r>
        <w:rPr>
          <w:b/>
        </w:rPr>
        <w:t>2026. augusztus 30.</w:t>
      </w:r>
      <w:r>
        <w:rPr>
          <w:b w:val="0"/>
        </w:rPr>
        <w:t xml:space="preserve"> | Változat: </w:t>
      </w:r>
      <w:r>
        <w:rPr>
          <w:b/>
        </w:rPr>
        <w:t>1.0</w:t>
      </w:r>
    </w:p>
    <w:p>
      <w:pPr>
        <w:spacing w:after="60"/>
      </w:pPr>
      <w:hyperlink w:anchor="chapter1">
        <w:r>
          <w:rPr>
            <w:color w:val="21618C"/>
          </w:rPr>
          <w:t>1. Magyar jogi keret, ügyészi munka és időigény</w:t>
        </w:r>
      </w:hyperlink>
    </w:p>
    <w:p>
      <w:pPr>
        <w:spacing w:after="60"/>
      </w:pPr>
      <w:hyperlink w:anchor="chapter2">
        <w:r>
          <w:rPr>
            <w:color w:val="21618C"/>
          </w:rPr>
          <w:t>2. Mit kell megtalálni és bizonyítani?</w:t>
        </w:r>
      </w:hyperlink>
    </w:p>
    <w:p>
      <w:pPr>
        <w:spacing w:after="60"/>
      </w:pPr>
      <w:hyperlink w:anchor="chapter3">
        <w:r>
          <w:rPr>
            <w:color w:val="21618C"/>
          </w:rPr>
          <w:t>3. AI-eszközök, adatfeldolgozás és biztonságos használat</w:t>
        </w:r>
      </w:hyperlink>
    </w:p>
    <w:p>
      <w:pPr>
        <w:spacing w:after="60"/>
      </w:pPr>
      <w:hyperlink w:anchor="chapter4">
        <w:r>
          <w:rPr>
            <w:color w:val="21618C"/>
          </w:rPr>
          <w:t>4. Bevezetés, mérés és döntési terv</w:t>
        </w:r>
      </w:hyperlink>
    </w:p>
    <w:p>
      <w:pPr>
        <w:spacing w:after="60"/>
      </w:pPr>
      <w:hyperlink w:anchor="chapter5">
        <w:r>
          <w:rPr>
            <w:color w:val="21618C"/>
          </w:rPr>
          <w:t>5. Forrásjegyzék és kutatási korlátok</w:t>
        </w:r>
      </w:hyperlink>
    </w:p>
    <w:p>
      <w:pPr>
        <w:pStyle w:val="Heading2"/>
      </w:pPr>
      <w:r>
        <w:rPr>
          <w:b w:val="0"/>
        </w:rPr>
        <w:t>Vezetői áttekintés</w:t>
      </w:r>
      <w:bookmarkStart w:id="2" w:name="chapter0-h3"/>
      <w:bookmarkEnd w:id="2"/>
    </w:p>
    <w:p>
      <w:pPr/>
      <w:r>
        <w:rPr>
          <w:b/>
        </w:rPr>
        <w:t>AI-val érdemben gyorsítható a nagy iratanyag feldolgozása, a pénzügyi és kommunikációs összefüggések feltárása, valamint a bizonyítási hiányok felismerése. A teljes nyomozás többéves átfutását azonban csak technológiai és munkaszervezési változások együtt rövidíthetik.</w:t>
      </w:r>
      <w:r>
        <w:rPr>
          <w:b w:val="0"/>
        </w:rPr>
        <w:t xml:space="preserve"> A szakértői, külföldi és eljárási várakozásokat külön kell kezelni. A bűnösség megállapítása, a vádemelés és a jogkorlátozó döntés nem adható át az AI-nak.</w:t>
      </w:r>
    </w:p>
    <w:p>
      <w:pPr/>
      <w:r>
        <w:rPr>
          <w:b w:val="0"/>
        </w:rPr>
        <w:t>A kiinduló feltételezés – sok szerződés, levél, hanganyag és vallomás kézi áttekintése – helyes és fontos fejlesztési irány. Ugyanakkor az ügyész munkájának nagy része nem egyszerű olvasás: azt kell megállapítania, ki, mikor, milyen szerepben mit tett, ez mely bűncselekmény elemeit merítheti ki, és mindez törvényesen megszerzett bizonyítékból megállapítható-e. A rendszernek ezért nem általános „korrupciódetektort”, hanem forrásokkal ellenőrizhető nyomozati és bizonyítási munkát kell támogatnia.</w:t>
      </w:r>
    </w:p>
    <w:p>
      <w:pPr>
        <w:pStyle w:val="Heading3"/>
      </w:pPr>
      <w:r>
        <w:rPr>
          <w:b w:val="0"/>
        </w:rPr>
        <w:t>Öt lényegi megállapítás</w:t>
      </w:r>
      <w:bookmarkStart w:id="3" w:name="chapter0-h6"/>
      <w:bookmarkEnd w:id="3"/>
    </w:p>
    <w:p>
      <w:pPr/>
      <w:r>
        <w:rPr>
          <w:b/>
        </w:rPr>
        <w:t>1. Az új magyar intézményi keret valóban megváltozott.</w:t>
      </w:r>
      <w:r>
        <w:rPr>
          <w:b w:val="0"/>
        </w:rPr>
        <w:t xml:space="preserve"> A 2026. évi XXXIV. törvény létrehozta a Nemzeti Vagyonvisszaszerzési és Vagyonvédelmi Hivatalt. A hatáskörökhöz több hatálybalépési lépcső tartozik; az intézmény létrejötte nem jelenti minden kapcsolódó jogkör és hozzáférés egyidejű működését. Az ügyészi feladatot csak az arra jogosult ügyész végezheti. Magyarország EPPO-részvételének 2026-os megerősítése miatt a korábbi „Magyarország nem résztvevő” leírásokra sem szabad automatikusan építeni; az operatív indulást és konkrét hatáskört külön kell ellenőrizni. </w:t>
      </w:r>
      <w:hyperlink w:anchor="F01">
        <w:r>
          <w:rPr>
            <w:color w:val="21618C"/>
          </w:rPr>
          <w:t>[F01, F11–F13]</w:t>
        </w:r>
      </w:hyperlink>
    </w:p>
    <w:p>
      <w:pPr/>
      <w:r>
        <w:rPr>
          <w:b/>
        </w:rPr>
        <w:t>2. A legsürgősebb gyorsítás gyakran az adat megszerzése és rendezése.</w:t>
      </w:r>
      <w:r>
        <w:rPr>
          <w:b w:val="0"/>
        </w:rPr>
        <w:t xml:space="preserve"> Korai adatmegőrzés, pontos banki és nemzetközi megkeresés, teljes mellékletállomány és szakértőnek átadható, egységes adatcsomag nélkül a gyorsabb olvasás hiányos aktát dolgoz fel. A digitális iratok teljességének ellenőrzése és a tranzakciók azonosítóalapú összekötése akár generatív AI nélkül is nagy hasznot hozhat.</w:t>
      </w:r>
    </w:p>
    <w:p>
      <w:pPr/>
      <w:r>
        <w:rPr>
          <w:b/>
        </w:rPr>
        <w:t>3. A gyanújel és a bizonyítás között több lépcső van.</w:t>
      </w:r>
      <w:r>
        <w:rPr>
          <w:b w:val="0"/>
        </w:rPr>
        <w:t xml:space="preserve"> A túlárazás, ismétlődő nyertes, közös céges kapcsolat, nagy tanácsadási díj vagy ellentmondó vallomás vizsgálati jel. Vesztegetésnél az előny és a működés kapcsolata, hűtlen kezelésnél a kötelezettségszegés, hátrány és szándék, kartellnél a konkrét egyeztetés és versenykorlátozás, erőfölényes visszaélésnél a piac és a magatartás külön bizonyítandó. Közbeszerzési, versenyjogi és büntetőjogi jogsértés nem felcserélhető. </w:t>
      </w:r>
      <w:hyperlink w:anchor="F07">
        <w:r>
          <w:rPr>
            <w:color w:val="21618C"/>
          </w:rPr>
          <w:t>[F07–F09]</w:t>
        </w:r>
      </w:hyperlink>
    </w:p>
    <w:p>
      <w:pPr/>
      <w:r>
        <w:rPr>
          <w:b/>
        </w:rPr>
        <w:t>4. Léteznek alkalmasnak tűnő részrendszerek, de nincs igazolt, kész magyar „AI-ügyész”.</w:t>
      </w:r>
      <w:r>
        <w:rPr>
          <w:b w:val="0"/>
        </w:rPr>
        <w:t xml:space="preserve"> A piaci körképben szerepel a Relativity, Nuix, Cellebrite, Magnet, Everlaw és a magyar jogi kutatás szempontjából a Wolters Kluwer Libra/Jogtár. Eltérő feladatot fednek le. A magyar nyelvű iratokon elért pontosság, a bűnügyi adatkezelés, a tényleges telepítési mód és a költség ellenőrzött próbát igényel. A brit SFO dokumentált TAR-próbája a módszer gyakorlati realitását mutatja, nem magyar teljesítménygarancia. </w:t>
      </w:r>
      <w:hyperlink w:anchor="F33">
        <w:r>
          <w:rPr>
            <w:color w:val="21618C"/>
          </w:rPr>
          <w:t>[F33–F41]</w:t>
        </w:r>
      </w:hyperlink>
    </w:p>
    <w:p>
      <w:pPr/>
      <w:r>
        <w:rPr>
          <w:b/>
        </w:rPr>
        <w:t>5. A jó cél több megalapozott és időben eldöntött ügy, nem pusztán több vád.</w:t>
      </w:r>
      <w:r>
        <w:rPr>
          <w:b w:val="0"/>
        </w:rPr>
        <w:t xml:space="preserve"> A téves találat, kihagyott mentő bizonyíték vagy jogellenes adatkezelés később többszörös időveszteséget és jogsérelmet okozhat. A helyes megszüntetés, a gyorsan felismert hatásköri probléma és az időben biztosított vagyon ugyancsak szakmai eredmény.</w:t>
      </w:r>
    </w:p>
    <w:p>
      <w:pPr>
        <w:pStyle w:val="Heading3"/>
      </w:pPr>
      <w:r>
        <w:rPr>
          <w:b w:val="0"/>
        </w:rPr>
        <w:t>Javasolt első döntés</w:t>
      </w:r>
      <w:bookmarkStart w:id="4" w:name="chapter0-h12"/>
      <w:bookmarkEnd w:id="4"/>
    </w:p>
    <w:p>
      <w:pPr/>
      <w:r>
        <w:rPr>
          <w:b w:val="0"/>
        </w:rPr>
        <w:t xml:space="preserve">Egy </w:t>
      </w:r>
      <w:r>
        <w:rPr>
          <w:b/>
        </w:rPr>
        <w:t>90 napos, szűk körű összehasonlító próba előkészítését</w:t>
      </w:r>
      <w:r>
        <w:rPr>
          <w:b w:val="0"/>
        </w:rPr>
        <w:t xml:space="preserve"> célszerű elindítani. A próbaórát az adat-, jogi és biztonsági előfeltételek biztosítása után kell indítani. Első feladatok: kereshető és ellenőrzött iratállomány; e-mail/szerződés relevanciaszűrés; forrásos idővonal; vallomás–irat eltérésjelzés; bizonyítási hiánylista.</w:t>
      </w:r>
    </w:p>
    <w:p>
      <w:pPr/>
      <w:r>
        <w:rPr>
          <w:b w:val="0"/>
        </w:rPr>
        <w:t>A javasolt megközelítés: bevált adatbeviteli és iratáttekintő alap, erre saját magyar bizonyítási munkafolyamat és ellenőrzési rendszer. A teljes forenzikus környezetet vagy nagy nyelvi modellt nem indokolt első lépésként újrafejleszteni. Az AI ne döntsön gyanúsításról vagy vádról, és ne töröljön vagy hagyjon el automatikusan bizonyítékot.</w:t>
      </w:r>
    </w:p>
    <w:p>
      <w:pPr>
        <w:pStyle w:val="Heading3"/>
      </w:pPr>
      <w:r>
        <w:rPr>
          <w:b w:val="0"/>
        </w:rPr>
        <w:t>Hol várható a legtöbb haszon?</w:t>
      </w:r>
      <w:bookmarkStart w:id="5" w:name="chapter0-h15"/>
      <w:bookmarkEnd w:id="5"/>
    </w:p>
    <w:tbl>
      <w:tblPr>
        <w:tblW w:type="dxa" w:w="9360"/>
        <w:jc w:val="left"/>
        <w:tblLayout w:type="fixed"/>
        <w:tblLook w:firstColumn="1" w:firstRow="1" w:lastColumn="0" w:lastRow="0" w:noHBand="0" w:noVBand="1" w:val="04A0"/>
        <w:tblInd w:type="dxa" w:w="120"/>
        <w:tblCellMar>
          <w:top w:w="80" w:type="dxa"/>
          <w:bottom w:w="80" w:type="dxa"/>
          <w:start w:w="120" w:type="dxa"/>
          <w:end w:w="120" w:type="dxa"/>
        </w:tblCellMar>
        <w:tblBorders>
          <w:top w:val="single" w:sz="4" w:color="D9E0E5"/>
          <w:left w:val="single" w:sz="4" w:color="D9E0E5"/>
          <w:bottom w:val="single" w:sz="4" w:color="D9E0E5"/>
          <w:right w:val="single" w:sz="4" w:color="D9E0E5"/>
          <w:insideH w:val="single" w:sz="4" w:color="D9E0E5"/>
          <w:insideV w:val="single" w:sz="4" w:color="D9E0E5"/>
        </w:tblBorders>
      </w:tblPr>
      <w:tblGrid>
        <w:gridCol w:w="2700"/>
        <w:gridCol w:w="3990"/>
        <w:gridCol w:w="2670"/>
      </w:tblGrid>
      <w:tr>
        <w:trPr>
          <w:tblHeader/>
          <w:cantSplit/>
        </w:trPr>
        <w:tc>
          <w:tcPr>
            <w:tcW w:type="dxa" w:w="2700"/>
            <w:vAlign w:val="top"/>
            <w:shd w:fill="F2F4F7"/>
          </w:tcPr>
          <w:p>
            <w:pPr>
              <w:pStyle w:val="TableText"/>
              <w:keepNext/>
            </w:pPr>
            <w:r>
              <w:rPr>
                <w:b/>
              </w:rPr>
              <w:t>Prioritás</w:t>
            </w:r>
          </w:p>
        </w:tc>
        <w:tc>
          <w:tcPr>
            <w:tcW w:type="dxa" w:w="3990"/>
            <w:vAlign w:val="top"/>
            <w:shd w:fill="F2F4F7"/>
          </w:tcPr>
          <w:p>
            <w:pPr>
              <w:pStyle w:val="TableText"/>
              <w:keepNext/>
            </w:pPr>
            <w:r>
              <w:rPr>
                <w:b/>
              </w:rPr>
              <w:t>Beavatkozás</w:t>
            </w:r>
          </w:p>
        </w:tc>
        <w:tc>
          <w:tcPr>
            <w:tcW w:type="dxa" w:w="2670"/>
            <w:vAlign w:val="top"/>
            <w:shd w:fill="F2F4F7"/>
          </w:tcPr>
          <w:p>
            <w:pPr>
              <w:pStyle w:val="TableText"/>
              <w:keepNext/>
            </w:pPr>
            <w:r>
              <w:rPr>
                <w:b/>
              </w:rPr>
              <w:t>Várt hatás</w:t>
            </w:r>
          </w:p>
        </w:tc>
      </w:tr>
      <w:tr>
        <w:trPr>
          <w:cantSplit/>
        </w:trPr>
        <w:tc>
          <w:tcPr>
            <w:tcW w:type="dxa" w:w="2700"/>
            <w:vAlign w:val="top"/>
          </w:tcPr>
          <w:p>
            <w:pPr>
              <w:pStyle w:val="TableText"/>
            </w:pPr>
            <w:r>
              <w:rPr>
                <w:b w:val="0"/>
              </w:rPr>
              <w:t>Azonnal</w:t>
            </w:r>
          </w:p>
        </w:tc>
        <w:tc>
          <w:tcPr>
            <w:tcW w:type="dxa" w:w="3990"/>
            <w:vAlign w:val="top"/>
          </w:tcPr>
          <w:p>
            <w:pPr>
              <w:pStyle w:val="TableText"/>
            </w:pPr>
            <w:r>
              <w:rPr>
                <w:b w:val="0"/>
              </w:rPr>
              <w:t>Hatáskör, elévülés, adatmegőrzés és vagyonvesztés ellenőrzése</w:t>
            </w:r>
          </w:p>
        </w:tc>
        <w:tc>
          <w:tcPr>
            <w:tcW w:type="dxa" w:w="2670"/>
            <w:vAlign w:val="top"/>
          </w:tcPr>
          <w:p>
            <w:pPr>
              <w:pStyle w:val="TableText"/>
            </w:pPr>
            <w:r>
              <w:rPr>
                <w:b w:val="0"/>
              </w:rPr>
              <w:t>Elvesző lehetőségek megelőzése</w:t>
            </w:r>
          </w:p>
        </w:tc>
      </w:tr>
      <w:tr>
        <w:trPr>
          <w:cantSplit/>
        </w:trPr>
        <w:tc>
          <w:tcPr>
            <w:tcW w:type="dxa" w:w="2700"/>
            <w:vAlign w:val="top"/>
          </w:tcPr>
          <w:p>
            <w:pPr>
              <w:pStyle w:val="TableText"/>
            </w:pPr>
            <w:r>
              <w:rPr>
                <w:b w:val="0"/>
              </w:rPr>
              <w:t>Első kör</w:t>
            </w:r>
          </w:p>
        </w:tc>
        <w:tc>
          <w:tcPr>
            <w:tcW w:type="dxa" w:w="3990"/>
            <w:vAlign w:val="top"/>
          </w:tcPr>
          <w:p>
            <w:pPr>
              <w:pStyle w:val="TableText"/>
            </w:pPr>
            <w:r>
              <w:rPr>
                <w:b w:val="0"/>
              </w:rPr>
              <w:t>Közös iratjegyzék, OCR, csatolmány- és duplikátumkezelés</w:t>
            </w:r>
          </w:p>
        </w:tc>
        <w:tc>
          <w:tcPr>
            <w:tcW w:type="dxa" w:w="2670"/>
            <w:vAlign w:val="top"/>
          </w:tcPr>
          <w:p>
            <w:pPr>
              <w:pStyle w:val="TableText"/>
            </w:pPr>
            <w:r>
              <w:rPr>
                <w:b w:val="0"/>
              </w:rPr>
              <w:t>Kevesebb ismételt munka, jobb kereshetőség</w:t>
            </w:r>
          </w:p>
        </w:tc>
      </w:tr>
      <w:tr>
        <w:trPr>
          <w:cantSplit/>
        </w:trPr>
        <w:tc>
          <w:tcPr>
            <w:tcW w:type="dxa" w:w="2700"/>
            <w:vAlign w:val="top"/>
          </w:tcPr>
          <w:p>
            <w:pPr>
              <w:pStyle w:val="TableText"/>
            </w:pPr>
            <w:r>
              <w:rPr>
                <w:b w:val="0"/>
              </w:rPr>
              <w:t>Első kör</w:t>
            </w:r>
          </w:p>
        </w:tc>
        <w:tc>
          <w:tcPr>
            <w:tcW w:type="dxa" w:w="3990"/>
            <w:vAlign w:val="top"/>
          </w:tcPr>
          <w:p>
            <w:pPr>
              <w:pStyle w:val="TableText"/>
            </w:pPr>
            <w:r>
              <w:rPr>
                <w:b w:val="0"/>
              </w:rPr>
              <w:t>Forrásos keresés, idővonal, szereplő- és pénzkapcsolatok</w:t>
            </w:r>
          </w:p>
        </w:tc>
        <w:tc>
          <w:tcPr>
            <w:tcW w:type="dxa" w:w="2670"/>
            <w:vAlign w:val="top"/>
          </w:tcPr>
          <w:p>
            <w:pPr>
              <w:pStyle w:val="TableText"/>
            </w:pPr>
            <w:r>
              <w:rPr>
                <w:b w:val="0"/>
              </w:rPr>
              <w:t>Gyorsabb tényrekonstrukció</w:t>
            </w:r>
          </w:p>
        </w:tc>
      </w:tr>
      <w:tr>
        <w:trPr>
          <w:cantSplit/>
        </w:trPr>
        <w:tc>
          <w:tcPr>
            <w:tcW w:type="dxa" w:w="2700"/>
            <w:vAlign w:val="top"/>
          </w:tcPr>
          <w:p>
            <w:pPr>
              <w:pStyle w:val="TableText"/>
            </w:pPr>
            <w:r>
              <w:rPr>
                <w:b w:val="0"/>
              </w:rPr>
              <w:t>Első kör</w:t>
            </w:r>
          </w:p>
        </w:tc>
        <w:tc>
          <w:tcPr>
            <w:tcW w:type="dxa" w:w="3990"/>
            <w:vAlign w:val="top"/>
          </w:tcPr>
          <w:p>
            <w:pPr>
              <w:pStyle w:val="TableText"/>
            </w:pPr>
            <w:r>
              <w:rPr>
                <w:b w:val="0"/>
              </w:rPr>
              <w:t>Bizonyítási mátrix és kéthetenkénti hiányvizsgálat</w:t>
            </w:r>
          </w:p>
        </w:tc>
        <w:tc>
          <w:tcPr>
            <w:tcW w:type="dxa" w:w="2670"/>
            <w:vAlign w:val="top"/>
          </w:tcPr>
          <w:p>
            <w:pPr>
              <w:pStyle w:val="TableText"/>
            </w:pPr>
            <w:r>
              <w:rPr>
                <w:b w:val="0"/>
              </w:rPr>
              <w:t>Pontosabb adatbeszerzés, kevesebb késői újramunka</w:t>
            </w:r>
          </w:p>
        </w:tc>
      </w:tr>
      <w:tr>
        <w:trPr>
          <w:cantSplit/>
        </w:trPr>
        <w:tc>
          <w:tcPr>
            <w:tcW w:type="dxa" w:w="2700"/>
            <w:vAlign w:val="top"/>
          </w:tcPr>
          <w:p>
            <w:pPr>
              <w:pStyle w:val="TableText"/>
            </w:pPr>
            <w:r>
              <w:rPr>
                <w:b w:val="0"/>
              </w:rPr>
              <w:t>Ellenőrzött próba után</w:t>
            </w:r>
          </w:p>
        </w:tc>
        <w:tc>
          <w:tcPr>
            <w:tcW w:type="dxa" w:w="3990"/>
            <w:vAlign w:val="top"/>
          </w:tcPr>
          <w:p>
            <w:pPr>
              <w:pStyle w:val="TableText"/>
            </w:pPr>
            <w:r>
              <w:rPr>
                <w:b w:val="0"/>
              </w:rPr>
              <w:t>Relevanciarangsor, hangfeldolgozás, eltérésjelzés</w:t>
            </w:r>
          </w:p>
        </w:tc>
        <w:tc>
          <w:tcPr>
            <w:tcW w:type="dxa" w:w="2670"/>
            <w:vAlign w:val="top"/>
          </w:tcPr>
          <w:p>
            <w:pPr>
              <w:pStyle w:val="TableText"/>
            </w:pPr>
            <w:r>
              <w:rPr>
                <w:b w:val="0"/>
              </w:rPr>
              <w:t>Kevesebb kézi áttekintés megfelelő minőség mellett</w:t>
            </w:r>
          </w:p>
        </w:tc>
      </w:tr>
      <w:tr>
        <w:trPr>
          <w:cantSplit/>
        </w:trPr>
        <w:tc>
          <w:tcPr>
            <w:tcW w:type="dxa" w:w="2700"/>
            <w:vAlign w:val="top"/>
          </w:tcPr>
          <w:p>
            <w:pPr>
              <w:pStyle w:val="TableText"/>
            </w:pPr>
            <w:r>
              <w:rPr>
                <w:b w:val="0"/>
              </w:rPr>
              <w:t>Később</w:t>
            </w:r>
          </w:p>
        </w:tc>
        <w:tc>
          <w:tcPr>
            <w:tcW w:type="dxa" w:w="3990"/>
            <w:vAlign w:val="top"/>
          </w:tcPr>
          <w:p>
            <w:pPr>
              <w:pStyle w:val="TableText"/>
            </w:pPr>
            <w:r>
              <w:rPr>
                <w:b w:val="0"/>
              </w:rPr>
              <w:t>Elfogadott tényekből vádiratvázlat, ügyek közötti keresés</w:t>
            </w:r>
          </w:p>
        </w:tc>
        <w:tc>
          <w:tcPr>
            <w:tcW w:type="dxa" w:w="2670"/>
            <w:vAlign w:val="top"/>
          </w:tcPr>
          <w:p>
            <w:pPr>
              <w:pStyle w:val="TableText"/>
            </w:pPr>
            <w:r>
              <w:rPr>
                <w:b w:val="0"/>
              </w:rPr>
              <w:t>Gyorsabb összeállítás, szigorú hozzáférési és minőségi rendben</w:t>
            </w:r>
          </w:p>
        </w:tc>
      </w:tr>
    </w:tbl>
    <w:p>
      <w:pPr>
        <w:spacing w:after="80"/>
      </w:pPr>
    </w:p>
    <w:p>
      <w:pPr>
        <w:pStyle w:val="Heading3"/>
      </w:pPr>
      <w:r>
        <w:rPr>
          <w:b w:val="0"/>
        </w:rPr>
        <w:t>Mekkora időnyereség reális?</w:t>
      </w:r>
      <w:bookmarkStart w:id="6" w:name="chapter0-h17"/>
      <w:bookmarkEnd w:id="6"/>
    </w:p>
    <w:p>
      <w:pPr/>
      <w:r>
        <w:rPr>
          <w:b w:val="0"/>
        </w:rPr>
        <w:t xml:space="preserve">Magyar korrupciós nyomozások feladatszintű időfelhasználásáról a kutatás nem talált olyan ellenőrzött nyilvános adatsort, amelyből megbízható százalékos országos ígéret tehető. Az anyagban szereplő munkaidők és megtakarítások ezért </w:t>
      </w:r>
      <w:r>
        <w:rPr>
          <w:b/>
        </w:rPr>
        <w:t>tervezési példák</w:t>
      </w:r>
      <w:r>
        <w:rPr>
          <w:b w:val="0"/>
        </w:rPr>
        <w:t>, nem mért tények.</w:t>
      </w:r>
    </w:p>
    <w:p>
      <w:pPr/>
      <w:r>
        <w:rPr>
          <w:b w:val="0"/>
        </w:rPr>
        <w:t>Egy bemutatott számításban a nagy iratanyag első feldolgozása 3000 óráról – beállítással, mintavétellel és ellenőrzéssel együtt – 1583 órára csökkenne, ha a feltételezett minőség és munkasebesség teljesülne. Ez körülbelül 47% munkaóra-nyereség az adott munkacsomagban. Egy másik példában a tizenkét hónapos ügy öt hónapnyi javítható munkájának 40%-os gyorsítása két hónap naptári nyereség; a külföldi adat késése ezt is csökkentheti. E két szám külön forgatókönyv, nem előrejelzés.</w:t>
      </w:r>
    </w:p>
    <w:p>
      <w:pPr>
        <w:pStyle w:val="Heading3"/>
      </w:pPr>
      <w:r>
        <w:rPr>
          <w:b w:val="0"/>
        </w:rPr>
        <w:t>Mit kell védeni a gyorsítás közben?</w:t>
      </w:r>
      <w:bookmarkStart w:id="7" w:name="chapter0-h20"/>
      <w:bookmarkEnd w:id="7"/>
    </w:p>
    <w:p>
      <w:pPr/>
      <w:r>
        <w:rPr>
          <w:b w:val="0"/>
        </w:rPr>
        <w:t>Minden lényegi AI-állítás mögött legyen megnyitható eredeti forrás. A mentő adatok ugyanolyan figyelmet kapjanak, mint a terhelők. Az eredeti és a gépi munkapéldány különüljön el. Legyen látható a be nem olvasott irat, a bizonytalan leirat és a nem kiemelt állomány ellenőrzésének módja. A hozzáférést az indexre, modellhívásra, naplóra és exportra is érvényesíteni kell.</w:t>
      </w:r>
    </w:p>
    <w:p>
      <w:pPr/>
      <w:r>
        <w:rPr>
          <w:b w:val="0"/>
        </w:rPr>
        <w:t xml:space="preserve">A bűnügyi adatkezeléshez nem elegendő általános GDPR-megfelelőséget ígérni: a bűnüldözési adatvédelmi és eljárási szabályok külön vizsgálandók. Az AI Act alkalmazásánál a 2026/1744 módosítással változott határidőket és a konkrét funkció besorolását is figyelembe kell venni. </w:t>
      </w:r>
      <w:hyperlink w:anchor="F28">
        <w:r>
          <w:rPr>
            <w:color w:val="21618C"/>
          </w:rPr>
          <w:t>[F28–F32]</w:t>
        </w:r>
      </w:hyperlink>
    </w:p>
    <w:p>
      <w:pPr>
        <w:pStyle w:val="Heading3"/>
      </w:pPr>
      <w:r>
        <w:rPr>
          <w:b w:val="0"/>
        </w:rPr>
        <w:t>Hogyan olvasható az anyag?</w:t>
      </w:r>
      <w:bookmarkStart w:id="8" w:name="chapter0-h23"/>
      <w:bookmarkEnd w:id="8"/>
    </w:p>
    <w:p>
      <w:pPr/>
      <w:r>
        <w:rPr>
          <w:b w:val="0"/>
        </w:rPr>
        <w:t xml:space="preserve">Az </w:t>
      </w:r>
      <w:r>
        <w:rPr>
          <w:b/>
        </w:rPr>
        <w:t>1. fejezet</w:t>
      </w:r>
      <w:r>
        <w:rPr>
          <w:b w:val="0"/>
        </w:rPr>
        <w:t xml:space="preserve"> a magyar intézményeket, ügyészi munkafázisokat, jogi határidőket és időveszteségeket tárgyalja. A </w:t>
      </w:r>
      <w:r>
        <w:rPr>
          <w:b/>
        </w:rPr>
        <w:t>2. fejezet</w:t>
      </w:r>
      <w:r>
        <w:rPr>
          <w:b w:val="0"/>
        </w:rPr>
        <w:t xml:space="preserve"> tényállásonként mutatja be a bizonyítandó kérdéseket, gyanújeleket, forrásokat és alternatív magyarázatokat. A </w:t>
      </w:r>
      <w:r>
        <w:rPr>
          <w:b/>
        </w:rPr>
        <w:t>3. fejezet</w:t>
      </w:r>
      <w:r>
        <w:rPr>
          <w:b w:val="0"/>
        </w:rPr>
        <w:t xml:space="preserve"> a feladatokat konkrét technológiai képességekhez és termékjelöltekhez kapcsolja, adatvédelmi és bizonyítási feltételekkel. A </w:t>
      </w:r>
      <w:r>
        <w:rPr>
          <w:b/>
        </w:rPr>
        <w:t>4. fejezet</w:t>
      </w:r>
      <w:r>
        <w:rPr>
          <w:b w:val="0"/>
        </w:rPr>
        <w:t xml:space="preserve"> kipróbálási tervet, mérőszámokat, költségmodellt, beszerzési kérdéseket és használható munkalapokat ad. Az </w:t>
      </w:r>
      <w:r>
        <w:rPr>
          <w:b/>
        </w:rPr>
        <w:t>5. fejezet</w:t>
      </w:r>
      <w:r>
        <w:rPr>
          <w:b w:val="0"/>
        </w:rPr>
        <w:t xml:space="preserve"> az ellenőrzéshez szükséges forrásjegyzék.</w:t>
      </w:r>
    </w:p>
    <w:p>
      <w:pPr/>
      <w:r>
        <w:rPr>
          <w:b w:val="0"/>
        </w:rPr>
        <w:t>Ez döntés-előkészítő kutatás, nem konkrét ügyre adott jogi szakvélemény, teljes jogszabálykommentár vagy terméktanúsítás. A források 2026. augusztus 30-án ellenőrzött állapothoz kötődnek; új alkalmazás előtt a hatályt és az intézményi működést ismét ellenőrizni kell.</w:t>
      </w:r>
    </w:p>
    <w:p>
      <w:r>
        <w:br w:type="page"/>
      </w:r>
    </w:p>
    <w:p>
      <w:pPr>
        <w:pStyle w:val="Heading1"/>
      </w:pPr>
      <w:r>
        <w:rPr>
          <w:b w:val="0"/>
        </w:rPr>
        <w:t>1. Magyar jogi keret, ügyészi munka és időigény</w:t>
      </w:r>
      <w:bookmarkStart w:id="9" w:name="chapter1"/>
      <w:bookmarkEnd w:id="9"/>
    </w:p>
    <w:p>
      <w:pPr/>
      <w:r>
        <w:rPr>
          <w:b/>
        </w:rPr>
        <w:t>Kutatási zárónap: 2026. augusztus 30. | Döntés-előkészítő munkaanyag, 1.0</w:t>
      </w:r>
    </w:p>
    <w:p>
      <w:pPr>
        <w:pStyle w:val="Heading2"/>
      </w:pPr>
      <w:r>
        <w:rPr>
          <w:b w:val="0"/>
        </w:rPr>
        <w:t>1.1. Mire használható ez az anyag?</w:t>
      </w:r>
      <w:bookmarkStart w:id="10" w:name="chapter1-h2"/>
      <w:bookmarkEnd w:id="10"/>
    </w:p>
    <w:p>
      <w:pPr/>
      <w:r>
        <w:rPr>
          <w:b w:val="0"/>
        </w:rPr>
        <w:t>A cél az állami és önkormányzati vagyont, közbeszerzéseket, támogatásokat és uniós forrásokat érintő ügyek gyorsabb, jogszerű és bizonyítható feldolgozásának megtervezése. Nem konkrét személyek felelősségét vizsgálja, és nem vádemelési utasítás. A végső minősítéshez az adott ügy teljes iratanyaga, az elkövetéskori és későbbi jogállapot összevetése, valamint eljáró magyar büntetőjogász szükséges.</w:t>
      </w:r>
    </w:p>
    <w:p>
      <w:pPr/>
      <w:r>
        <w:rPr>
          <w:b w:val="0"/>
        </w:rPr>
        <w:t xml:space="preserve">Az anyag három állítástípust különböztet meg. </w:t>
      </w:r>
      <w:r>
        <w:rPr>
          <w:b/>
        </w:rPr>
        <w:t>Jogszabályi tény</w:t>
      </w:r>
      <w:r>
        <w:rPr>
          <w:b w:val="0"/>
        </w:rPr>
        <w:t xml:space="preserve">: hivatkozott jogforrásból ellenőrizhető. </w:t>
      </w:r>
      <w:r>
        <w:rPr>
          <w:b/>
        </w:rPr>
        <w:t>Tervezési becslés</w:t>
      </w:r>
      <w:r>
        <w:rPr>
          <w:b w:val="0"/>
        </w:rPr>
        <w:t xml:space="preserve">: feltételezett kapacitás és adatmennyiség alapján készül, nem magyar ügyészségi statisztika. </w:t>
      </w:r>
      <w:r>
        <w:rPr>
          <w:b/>
        </w:rPr>
        <w:t>Javaslat</w:t>
      </w:r>
      <w:r>
        <w:rPr>
          <w:b w:val="0"/>
        </w:rPr>
        <w:t>: a kutatás alapján kialakított munkaszervezési vagy technológiai megoldás, amelyet helyben mérni kell. A termékfunkciók gyártói állítások, nem saját teszteredmények.</w:t>
      </w:r>
    </w:p>
    <w:p>
      <w:pPr/>
      <w:r>
        <w:rPr>
          <w:b w:val="0"/>
        </w:rPr>
        <w:t>A források az F-számok alapján a közös forrásjegyzékben visszakereshetők. A dátumozott jogszabályállapot elsőbbséget élvez egy korábbi intézményi ismertetővel, sajtóközleménnyel vagy tervezettel szemben. Az általános jogszabálylinkek később más időállapotot mutathatnak; a megjelölt rendelkezéseket új felhasználás előtt ismét ellenőrizni kell.</w:t>
      </w:r>
    </w:p>
    <w:p>
      <w:pPr>
        <w:pStyle w:val="Heading2"/>
      </w:pPr>
      <w:r>
        <w:rPr>
          <w:b w:val="0"/>
        </w:rPr>
        <w:t>1.2. Az új hivatal: létrejött, de az indulást nem szabad egyetlen dátumként kezelni</w:t>
      </w:r>
      <w:bookmarkStart w:id="11" w:name="chapter1-h6"/>
      <w:bookmarkEnd w:id="11"/>
    </w:p>
    <w:p>
      <w:pPr/>
      <w:r>
        <w:rPr>
          <w:b/>
        </w:rPr>
        <w:t>A 2026. évi XXXIV. törvény létrehozta a Nemzeti Vagyonvisszaszerzési és Vagyonvédelmi Hivatalt (NVVH).</w:t>
      </w:r>
      <w:r>
        <w:rPr>
          <w:b w:val="0"/>
        </w:rPr>
        <w:t xml:space="preserve"> A törvény 1–6. §-a vizsgálati, vagyonvédelmi és büntetőeljárási funkciókat kapcsol össze; az 5. § közvádlói szerepet is nevesít. A 18. § alapján vádemelést és vádképviseletet kizárólag a Hivatalba beosztott ügyész végezhet. Nem valamennyi munkatárs kap ügyészi jogkört. </w:t>
      </w:r>
      <w:hyperlink w:anchor="F01">
        <w:r>
          <w:rPr>
            <w:color w:val="21618C"/>
          </w:rPr>
          <w:t>[F01]</w:t>
        </w:r>
      </w:hyperlink>
    </w:p>
    <w:p>
      <w:pPr/>
      <w:r>
        <w:rPr>
          <w:b w:val="0"/>
        </w:rPr>
        <w:t xml:space="preserve">Az alapító törvényt 2026. július 28-án hirdették ki; főszabály szerint július 29-én lépett hatályba. A 63. § további lépcsőket tartalmaz: a 47. § augusztus 13-án, a 18. § augusztus 26-án; számos kapcsolódó módosítás szeptember 27-én; a 198. alcím október 1-jén; a 196–197. alcím 2027. január 1-jén lép hatályba. Az utóbbiak jogi személyek nyilvántartásához és eljárásaihoz kapcsolódnak. </w:t>
      </w:r>
      <w:hyperlink w:anchor="F01">
        <w:r>
          <w:rPr>
            <w:color w:val="21618C"/>
          </w:rPr>
          <w:t>[F01, F02]</w:t>
        </w:r>
      </w:hyperlink>
    </w:p>
    <w:p>
      <w:pPr/>
      <w:r>
        <w:rPr>
          <w:b/>
        </w:rPr>
        <w:t>Működési következtetés:</w:t>
      </w:r>
      <w:r>
        <w:rPr>
          <w:b w:val="0"/>
        </w:rPr>
        <w:t xml:space="preserve"> minden ügyhöz dátumhoz kötött hatásköri ellenőrzőlap kell. A szervezet létrejötte önmagában nem igazolja az összes kapcsolódó eljárási jogosultság azonnali gyakorolhatóságát. A további fejezetek az általános büntetőeljárási munkát és az NVVH számára javasolt célfolyamatot mutatják be; nem állítják, hogy 2026. augusztus 30-án az összes javasolt kapcsolat, álláshely és informatikai hozzáférés már működik.</w:t>
      </w:r>
    </w:p>
    <w:p>
      <w:pPr/>
      <w:r>
        <w:rPr>
          <w:b w:val="0"/>
        </w:rPr>
        <w:t>Az első ellenőrzőlap javasolt kérdései:</w:t>
      </w:r>
    </w:p>
    <w:p>
      <w:pPr>
        <w:pStyle w:val="ListBullet"/>
        <w:numPr>
          <w:ilvl w:val="0"/>
          <w:numId w:val="10"/>
        </w:numPr>
      </w:pPr>
      <w:r>
        <w:rPr>
          <w:b w:val="0"/>
        </w:rPr>
        <w:t>Melyik konkrét, az intézkedés napján hatályos rendelkezés adja a hatáskört?</w:t>
      </w:r>
    </w:p>
    <w:p>
      <w:pPr>
        <w:pStyle w:val="ListBullet"/>
        <w:numPr>
          <w:ilvl w:val="0"/>
          <w:numId w:val="10"/>
        </w:numPr>
      </w:pPr>
      <w:r>
        <w:rPr>
          <w:b w:val="0"/>
        </w:rPr>
        <w:t>Közvagyonvédelmi vizsgálat, büntetőeljárás, polgári fellépés vagy más hatósági eljárás zajlik?</w:t>
      </w:r>
    </w:p>
    <w:p>
      <w:pPr>
        <w:pStyle w:val="ListBullet"/>
        <w:numPr>
          <w:ilvl w:val="0"/>
          <w:numId w:val="10"/>
        </w:numPr>
      </w:pPr>
      <w:r>
        <w:rPr>
          <w:b w:val="0"/>
        </w:rPr>
        <w:t>Ki hozhat és írhat alá döntést; kell-e ügyészi vagy bírói engedély?</w:t>
      </w:r>
    </w:p>
    <w:p>
      <w:pPr>
        <w:pStyle w:val="ListBullet"/>
        <w:numPr>
          <w:ilvl w:val="0"/>
          <w:numId w:val="10"/>
        </w:numPr>
      </w:pPr>
      <w:r>
        <w:rPr>
          <w:b w:val="0"/>
        </w:rPr>
        <w:t>Van-e már eljáró szerv, és szükséges-e ügyátadás, hatásköri egyeztetés vagy kapcsolódó eljárás?</w:t>
      </w:r>
    </w:p>
    <w:p>
      <w:pPr>
        <w:pStyle w:val="ListBullet"/>
        <w:numPr>
          <w:ilvl w:val="0"/>
          <w:numId w:val="10"/>
        </w:numPr>
      </w:pPr>
      <w:r>
        <w:rPr>
          <w:b w:val="0"/>
        </w:rPr>
        <w:t>Mi a jogalapja az adat átvételének, összekapcsolásának és más eljárásban történő felhasználásának?</w:t>
      </w:r>
    </w:p>
    <w:p>
      <w:pPr/>
      <w:r>
        <w:rPr>
          <w:b w:val="0"/>
        </w:rPr>
        <w:t xml:space="preserve">Az NVVH-t nem szabad összekeverni a korábbi rendőrségi vagyonvisszaszerzési szervezettel. A rendőrségi vagyonfelkutatás történeti hátterét az Országgyűlés 2025-ös tájékoztatója ismerteti; ez nem az új hivatal 2026-os működési kézikönyve. </w:t>
      </w:r>
      <w:hyperlink w:anchor="F03">
        <w:r>
          <w:rPr>
            <w:color w:val="21618C"/>
          </w:rPr>
          <w:t>[F03]</w:t>
        </w:r>
      </w:hyperlink>
    </w:p>
    <w:p>
      <w:pPr>
        <w:pStyle w:val="Heading2"/>
      </w:pPr>
      <w:r>
        <w:rPr>
          <w:b w:val="0"/>
        </w:rPr>
        <w:t>1.3. Szereplők és munkamegosztás</w:t>
      </w:r>
      <w:bookmarkStart w:id="12" w:name="chapter1-h13"/>
      <w:bookmarkEnd w:id="12"/>
    </w:p>
    <w:p>
      <w:pPr/>
      <w:r>
        <w:rPr>
          <w:b/>
        </w:rPr>
        <w:t>Ügyészség.</w:t>
      </w:r>
      <w:r>
        <w:rPr>
          <w:b w:val="0"/>
        </w:rPr>
        <w:t xml:space="preserve"> Az általános rendszerben a felderítés törvényességi felügyelete és a gyanúsítás utáni vizsgálat irányítása különböző szerep. Az ügyészség maga is végezhet nyomozási cselekményt, és törvényi keretek között nyomozhat. Az ügyész feladata a bizonyítható tényállás jogi értékelése és az eljárásról való döntés; nem egyszerűen a nyomozók által kiválasztott iratok felolvasása. </w:t>
      </w:r>
      <w:hyperlink w:anchor="F04">
        <w:r>
          <w:rPr>
            <w:color w:val="21618C"/>
          </w:rPr>
          <w:t>[F04, F05]</w:t>
        </w:r>
      </w:hyperlink>
    </w:p>
    <w:p>
      <w:pPr/>
      <w:r>
        <w:rPr>
          <w:b/>
        </w:rPr>
        <w:t>Rendőrség és NAV bűnügyi szervei.</w:t>
      </w:r>
      <w:r>
        <w:rPr>
          <w:b w:val="0"/>
        </w:rPr>
        <w:t xml:space="preserve"> Az általános nyomozói munkában adatot szereznek be, tanúkat hallgatnak ki, kutatást, lefoglalást és egyéb cselekményeket végeznek, digitális és pénzügyi adatot dolgoznak fel. A konkrét hatáskört a Be., a kapcsolódó jogszabályok és az ügy sajátosságai határozzák meg. A költségvetési csalás NAV-érintettségét, a hivatali korrupció ügyészségi nyomozási szabályait és az NVVH kapcsolódó jogköreit ügyenként kell összevetni. </w:t>
      </w:r>
      <w:hyperlink w:anchor="F04">
        <w:r>
          <w:rPr>
            <w:color w:val="21618C"/>
          </w:rPr>
          <w:t>[F04]</w:t>
        </w:r>
      </w:hyperlink>
    </w:p>
    <w:p>
      <w:pPr/>
      <w:r>
        <w:rPr>
          <w:b/>
        </w:rPr>
        <w:t>NVVH.</w:t>
      </w:r>
      <w:r>
        <w:rPr>
          <w:b w:val="0"/>
        </w:rPr>
        <w:t xml:space="preserve"> A célfolyamatban a közpénzügyi elemző, nyomozó, ügyész és vagyonvédelmi szakember egymást kiegészítő munkát végez. A közvagyonvédelmi vizsgálati megállapítás nem tehető automatikusan büntetőeljárási bizonyítékká: az átvétel és felhasználás feltételeit is vizsgálni kell. A törvényi indokolás a saját hatáskörű eljárás és a más szerv felé tett feljelentés közötti különbséget is hangsúlyozza. </w:t>
      </w:r>
      <w:hyperlink w:anchor="F06">
        <w:r>
          <w:rPr>
            <w:color w:val="21618C"/>
          </w:rPr>
          <w:t>[F06]</w:t>
        </w:r>
      </w:hyperlink>
    </w:p>
    <w:p>
      <w:pPr/>
      <w:r>
        <w:rPr>
          <w:b/>
        </w:rPr>
        <w:t>Bíróság, nyomozási bíró.</w:t>
      </w:r>
      <w:r>
        <w:rPr>
          <w:b w:val="0"/>
        </w:rPr>
        <w:t xml:space="preserve"> A bírói hatáskörbe tartozó kényszerintézkedésekről, engedélyekről, jogorvoslatokról és végül a bűnösségről nem a nyomozó, nem az ügyész és nem az AI dönt. A gyorsítás nem iktathatja ki ezt az ellenőrzést. </w:t>
      </w:r>
      <w:hyperlink w:anchor="F04">
        <w:r>
          <w:rPr>
            <w:color w:val="21618C"/>
          </w:rPr>
          <w:t>[F04]</w:t>
        </w:r>
      </w:hyperlink>
    </w:p>
    <w:p>
      <w:pPr/>
      <w:r>
        <w:rPr>
          <w:b/>
        </w:rPr>
        <w:t>GVH.</w:t>
      </w:r>
      <w:r>
        <w:rPr>
          <w:b w:val="0"/>
        </w:rPr>
        <w:t xml:space="preserve"> A kartell és a gazdasági erőfölénnyel való visszaélés versenyfelügyeleti ügyeit a versenyjog alapján vizsgálja. Ugyanaz a történet közbeszerzési, versenyjogi és büntetőjogi kérdéseket is felvethet; a döntések jogalapja és bizonyítási feladata eltér. A Tpvt. 11. § szerinti versenykorlátozó megállapodás, a 21. § szerinti erőfölényes visszaélés és a Btk. 420. § szerinti bűncselekmény nem felcserélhető. </w:t>
      </w:r>
      <w:hyperlink w:anchor="F07">
        <w:r>
          <w:rPr>
            <w:color w:val="21618C"/>
          </w:rPr>
          <w:t>[F07, F08]</w:t>
        </w:r>
      </w:hyperlink>
    </w:p>
    <w:p>
      <w:pPr/>
      <w:r>
        <w:rPr>
          <w:b/>
        </w:rPr>
        <w:t>Közbeszerzési Hatóság és Közbeszerzési Döntőbizottság.</w:t>
      </w:r>
      <w:r>
        <w:rPr>
          <w:b w:val="0"/>
        </w:rPr>
        <w:t xml:space="preserve"> A beszerzési szabályosság, jogorvoslat és ellenőrzés saját eljárási rendben történik. A közbeszerzési szabálytalanság hasznos vizsgálati kiindulópont lehet, de önmagában nem bizonyít vesztegetést vagy hűtlen kezelést. </w:t>
      </w:r>
      <w:hyperlink w:anchor="F09">
        <w:r>
          <w:rPr>
            <w:color w:val="21618C"/>
          </w:rPr>
          <w:t>[F09]</w:t>
        </w:r>
      </w:hyperlink>
    </w:p>
    <w:p>
      <w:pPr/>
      <w:r>
        <w:rPr>
          <w:b/>
        </w:rPr>
        <w:t>Integritás Hatóság, ÁSZ, belső ellenőrzés, támogatáskezelők.</w:t>
      </w:r>
      <w:r>
        <w:rPr>
          <w:b w:val="0"/>
        </w:rPr>
        <w:t xml:space="preserve"> Ellenőrzésekből, jelentésekből és feljelentésekből releváns adatok érkezhetnek. Az Integritás Hatóság feljelentései nem azonosak ügyészi vádemelésekkel; a hatóság létezése nem helyettesíti a bűnügyi bizonyítást. </w:t>
      </w:r>
      <w:hyperlink w:anchor="F10">
        <w:r>
          <w:rPr>
            <w:color w:val="21618C"/>
          </w:rPr>
          <w:t>[F10]</w:t>
        </w:r>
      </w:hyperlink>
    </w:p>
    <w:p>
      <w:pPr/>
      <w:r>
        <w:rPr>
          <w:b/>
        </w:rPr>
        <w:t>EPPO, OLAF, Eurojust, Europol.</w:t>
      </w:r>
      <w:r>
        <w:rPr>
          <w:b w:val="0"/>
        </w:rPr>
        <w:t xml:space="preserve"> E szervek szerepe eltér: európai ügyészi eljárás, uniós igazgatási vizsgálat, igazságügyi koordináció, illetve rendészeti információs és elemzési támogatás. Külföldi együttműködésnél először a megfelelő csatornát kell kiválasztani; az adatelemző platform nem teremt új hozzáférési jogot.</w:t>
      </w:r>
    </w:p>
    <w:p>
      <w:pPr>
        <w:pStyle w:val="Heading3"/>
      </w:pPr>
      <w:r>
        <w:rPr>
          <w:b w:val="0"/>
        </w:rPr>
        <w:t>Külön 2026-os megjegyzés az Európai Ügyészségről</w:t>
      </w:r>
      <w:bookmarkStart w:id="13" w:name="chapter1-h22"/>
      <w:bookmarkEnd w:id="13"/>
    </w:p>
    <w:p>
      <w:pPr/>
      <w:r>
        <w:rPr>
          <w:b w:val="0"/>
        </w:rPr>
        <w:t xml:space="preserve">Magyarország részvételét az (EU) 2026/1701 határozat megerősítette. Az EPPO saját országoldala 2026. augusztus 2-i részvételi dátumot közöl, és a magyarországi operatív indulást az európai ügyész kinevezését követő huszadik naphoz köti. A Tanács ismertetője augusztus 3-át jelöl; e közlési eltérés miatt napra pontos operatív jogkövetkeztetést nem erre a két ismertetőre kell alapítani. </w:t>
      </w:r>
      <w:hyperlink w:anchor="F11">
        <w:r>
          <w:rPr>
            <w:color w:val="21618C"/>
          </w:rPr>
          <w:t>[F11, F12]</w:t>
        </w:r>
      </w:hyperlink>
    </w:p>
    <w:p>
      <w:pPr/>
      <w:r>
        <w:rPr>
          <w:b w:val="0"/>
        </w:rPr>
        <w:t xml:space="preserve">A csatlakozási döntés Magyarországra vonatkozó időbeli szabályát külön kell figyelembe venni: az uniós pénzügyi érdekeket sértő, 2021. június 1. utáni cselekményekre kiterjedő hatáskör nem jelenti valamennyi régi magyar korrupciós ügy EPPO-hoz kerülését. A tárgyi, területi, személyi és időbeli feltételek, valamint a tényleges működés kezdete együtt számítanak. </w:t>
      </w:r>
      <w:hyperlink w:anchor="F13">
        <w:r>
          <w:rPr>
            <w:color w:val="21618C"/>
          </w:rPr>
          <w:t>[F13]</w:t>
        </w:r>
      </w:hyperlink>
    </w:p>
    <w:p>
      <w:pPr>
        <w:pStyle w:val="Heading2"/>
      </w:pPr>
      <w:r>
        <w:rPr>
          <w:b w:val="0"/>
        </w:rPr>
        <w:t>1.4. Miből áll egy ügyész munkája egy ilyen ügyben?</w:t>
      </w:r>
      <w:bookmarkStart w:id="14" w:name="chapter1-h25"/>
      <w:bookmarkEnd w:id="14"/>
    </w:p>
    <w:p>
      <w:pPr/>
      <w:r>
        <w:rPr>
          <w:b w:val="0"/>
        </w:rPr>
        <w:t xml:space="preserve">Az alábbi bontás </w:t>
      </w:r>
      <w:r>
        <w:rPr>
          <w:b/>
        </w:rPr>
        <w:t>javasolt munkaszervezési modell</w:t>
      </w:r>
      <w:r>
        <w:rPr>
          <w:b w:val="0"/>
        </w:rPr>
        <w:t xml:space="preserve">, nem országosan előírt ügyészi munkanap-felosztás. Az ügyész teljes munkájához ezen kívül tárgyalások, jogorvoslatok, vezetői és igazgatási feladatok, egyes munkakörökben közérdekvédelmi vagy büntetés-végrehajtási törvényességi feladatok is tartozhatnak. Ez az anyag a vádemelésig vezető bűnügyi munkára összpontosít. </w:t>
      </w:r>
      <w:hyperlink w:anchor="F05">
        <w:r>
          <w:rPr>
            <w:color w:val="21618C"/>
          </w:rPr>
          <w:t>[F05]</w:t>
        </w:r>
      </w:hyperlink>
    </w:p>
    <w:p>
      <w:pPr>
        <w:pStyle w:val="Heading3"/>
      </w:pPr>
      <w:r>
        <w:rPr>
          <w:b w:val="0"/>
        </w:rPr>
        <w:t>A. Ügyindítás és jogi szűrés</w:t>
      </w:r>
      <w:bookmarkStart w:id="15" w:name="chapter1-h27"/>
      <w:bookmarkEnd w:id="15"/>
    </w:p>
    <w:p>
      <w:pPr/>
      <w:r>
        <w:rPr>
          <w:b w:val="0"/>
        </w:rPr>
        <w:t>Meg kell érteni, pontosan mi az állítás, honnan származik, melyik cselekmény mikor történt, és ki járt el. Külön kérdés a bűncselekmény gyanúja, az illetékes szerv, az elévülés, a korábbi jogerős elbírálás és az azonnali adat- vagy vagyonvesztés veszélye. A politikai jelentőség nem bizonyítási kategória.</w:t>
      </w:r>
    </w:p>
    <w:p>
      <w:pPr/>
      <w:r>
        <w:rPr>
          <w:b w:val="0"/>
        </w:rPr>
        <w:t xml:space="preserve">Régi közpénzügyi ügyben külön idővonal kell a cselekményekhez és az elévülés szempontjából releváns eljárási eseményekhez. A Btk. 2. § szerinti időbeli alkalmazás miatt az elkövetéskori és az esetleg enyhébb későbbi szabály összevetendő. Az új szerv létrejötte önmagában nem tesz utólag bűncselekménnyé korábban jogszerű magatartást, és nem ad általános felhatalmazást jogerősen lezárt ügyek újranyitására. A megszüntetés utáni folytatás vagy rendkívüli jogorvoslat feltételeit külön kell ellenőrizni. </w:t>
      </w:r>
      <w:hyperlink w:anchor="F04">
        <w:r>
          <w:rPr>
            <w:color w:val="21618C"/>
          </w:rPr>
          <w:t>[F04, F08]</w:t>
        </w:r>
      </w:hyperlink>
    </w:p>
    <w:p>
      <w:pPr/>
      <w:r>
        <w:rPr>
          <w:b/>
        </w:rPr>
        <w:t>Kimenet:</w:t>
      </w:r>
      <w:r>
        <w:rPr>
          <w:b w:val="0"/>
        </w:rPr>
        <w:t xml:space="preserve"> rövid ügyindító lap, jogi alternatívák, sürgős feladatok, felelős és következő döntési pont. </w:t>
      </w:r>
      <w:r>
        <w:rPr>
          <w:b/>
        </w:rPr>
        <w:t>Gyakori időveszteség:</w:t>
      </w:r>
      <w:r>
        <w:rPr>
          <w:b w:val="0"/>
        </w:rPr>
        <w:t xml:space="preserve"> sok általános állítás, kevés azonosítható szerződés vagy tranzakció; egymást ismétlő bejelentések; korábban lezárt ügyek történetének újraépítése.</w:t>
      </w:r>
    </w:p>
    <w:p>
      <w:pPr>
        <w:pStyle w:val="Heading3"/>
      </w:pPr>
      <w:r>
        <w:rPr>
          <w:b w:val="0"/>
        </w:rPr>
        <w:t>B. Bizonyítási terv és munkahipotézisek</w:t>
      </w:r>
      <w:bookmarkStart w:id="16" w:name="chapter1-h31"/>
      <w:bookmarkEnd w:id="16"/>
    </w:p>
    <w:p>
      <w:pPr/>
      <w:r>
        <w:rPr>
          <w:b w:val="0"/>
        </w:rPr>
        <w:t>Az ügycsoportot cselekményekre, szereplőkre és bizonyítandó elemekre kell bontani. Meg kell határozni, mely tény hiánya akadályozná a vádat, és milyen adat cáfolhatná a feltételezett történetet. A felderítési szakaszban e tervezésnek igazodnia kell az eljáró szerv tényleges jogköréhez; az ügyészi felügyelet nem változtatható informális nyomozásirányítássá.</w:t>
      </w:r>
    </w:p>
    <w:p>
      <w:pPr/>
      <w:r>
        <w:rPr>
          <w:b/>
        </w:rPr>
        <w:t>Kimenet:</w:t>
      </w:r>
      <w:r>
        <w:rPr>
          <w:b w:val="0"/>
        </w:rPr>
        <w:t xml:space="preserve"> bizonyítási mátrix és beszerzési terv. </w:t>
      </w:r>
      <w:r>
        <w:rPr>
          <w:b/>
        </w:rPr>
        <w:t>Időveszteség:</w:t>
      </w:r>
      <w:r>
        <w:rPr>
          <w:b w:val="0"/>
        </w:rPr>
        <w:t xml:space="preserve"> határozatlan megbízás, például „nézzük át az összes szerződést”; túl későn felismert hiányzó elem; azonos kérdések többszöri vizsgálata.</w:t>
      </w:r>
    </w:p>
    <w:p>
      <w:pPr>
        <w:pStyle w:val="Heading3"/>
      </w:pPr>
      <w:r>
        <w:rPr>
          <w:b w:val="0"/>
        </w:rPr>
        <w:t>C. Bizonyíték megszerzése és megőrzése</w:t>
      </w:r>
      <w:bookmarkStart w:id="17" w:name="chapter1-h34"/>
      <w:bookmarkEnd w:id="17"/>
    </w:p>
    <w:p>
      <w:pPr/>
      <w:r>
        <w:rPr>
          <w:b w:val="0"/>
        </w:rPr>
        <w:t>Adatkérés, kutatás, lefoglalás, pénzügyi megkeresés, tanúkihallgatás, szakértő kirendelése és szükség esetén megfelelően engedélyezett leplezett eszközök tartozhatnak ide. Az ügyész a rá tartozó engedélyezést, indítványozást, jogi ellenőrzést és döntést végzi; az adatmentést és elemzést többnyire szakemberek támogatják.</w:t>
      </w:r>
    </w:p>
    <w:p>
      <w:pPr/>
      <w:r>
        <w:rPr>
          <w:b/>
        </w:rPr>
        <w:t>Kimenet:</w:t>
      </w:r>
      <w:r>
        <w:rPr>
          <w:b w:val="0"/>
        </w:rPr>
        <w:t xml:space="preserve"> dokumentált eredetű, hozzáférhető és felhasználhatóság szempontjából ellenőrzött adatállomány. </w:t>
      </w:r>
      <w:r>
        <w:rPr>
          <w:b/>
        </w:rPr>
        <w:t>Időveszteség:</w:t>
      </w:r>
      <w:r>
        <w:rPr>
          <w:b w:val="0"/>
        </w:rPr>
        <w:t xml:space="preserve"> hiányos megkeresések, rossz exportformátum, csatolmányok hiánya, titkosított eszköz, nagy adatmennyiség, külföldi megkeresés.</w:t>
      </w:r>
    </w:p>
    <w:p>
      <w:pPr>
        <w:pStyle w:val="Heading3"/>
      </w:pPr>
      <w:r>
        <w:rPr>
          <w:b w:val="0"/>
        </w:rPr>
        <w:t>D. Tényrekonstrukció és személyhez rendelés</w:t>
      </w:r>
      <w:bookmarkStart w:id="18" w:name="chapter1-h37"/>
      <w:bookmarkEnd w:id="18"/>
    </w:p>
    <w:p>
      <w:pPr/>
      <w:r>
        <w:rPr>
          <w:b w:val="0"/>
        </w:rPr>
        <w:t>Nem elég megtalálni egy terhelő mondatot. Ki írta vagy mondta? Kinek? Mikor? Melyik szerződésre vonatkozott? Teljes vagy csonkolt-e a beszélgetés? Az adott személynek volt-e döntési joga vagy tényleges ráhatása? A könyvelt pénzmozgás megtörtént-e, és mi volt a gazdasági oka?</w:t>
      </w:r>
    </w:p>
    <w:p>
      <w:pPr/>
      <w:r>
        <w:rPr>
          <w:b/>
        </w:rPr>
        <w:t>Kimenet:</w:t>
      </w:r>
      <w:r>
        <w:rPr>
          <w:b w:val="0"/>
        </w:rPr>
        <w:t xml:space="preserve"> forráshivatkozásos idővonal, személy- és cégtérkép, pénzút, azonosítási bizonytalanságok. </w:t>
      </w:r>
      <w:r>
        <w:rPr>
          <w:b/>
        </w:rPr>
        <w:t>Időveszteség:</w:t>
      </w:r>
      <w:r>
        <w:rPr>
          <w:b w:val="0"/>
        </w:rPr>
        <w:t xml:space="preserve"> különböző irattárak közötti kézi egyeztetés; átnevezett cégek; azonos nevű személyek; régi munkakörök és tulajdonosi állapotok visszaállítása.</w:t>
      </w:r>
    </w:p>
    <w:p>
      <w:pPr>
        <w:pStyle w:val="Heading3"/>
      </w:pPr>
      <w:r>
        <w:rPr>
          <w:b w:val="0"/>
        </w:rPr>
        <w:t>E. Kihallgatások és szakértői munka előkészítése, értékelése</w:t>
      </w:r>
      <w:bookmarkStart w:id="19" w:name="chapter1-h40"/>
      <w:bookmarkEnd w:id="19"/>
    </w:p>
    <w:p>
      <w:pPr/>
      <w:r>
        <w:rPr>
          <w:b w:val="0"/>
        </w:rPr>
        <w:t>Az iratok alapján pontos kérdések készíthetők. Utána a válaszokat az iratokkal és más vallomásokkal kell összevetni. A szakértőnek technikai vagy gazdasági kérdést kell feltenni, nem azt, hogy „történt-e bűncselekmény”. Például mennyi volt az összehasonlítható műszaki tartalom korabeli piaci értéke, és mi magyarázza az árkülönbséget?</w:t>
      </w:r>
    </w:p>
    <w:p>
      <w:pPr/>
      <w:r>
        <w:rPr>
          <w:b/>
        </w:rPr>
        <w:t>Kimenet:</w:t>
      </w:r>
      <w:r>
        <w:rPr>
          <w:b w:val="0"/>
        </w:rPr>
        <w:t xml:space="preserve"> megválaszolt ténykérdések és világosan megjelölt bizonytalanságok. </w:t>
      </w:r>
      <w:r>
        <w:rPr>
          <w:b/>
        </w:rPr>
        <w:t>Időveszteség:</w:t>
      </w:r>
      <w:r>
        <w:rPr>
          <w:b w:val="0"/>
        </w:rPr>
        <w:t xml:space="preserve"> ismételt kihallgatás az előzetes iratáttekintés hiánya miatt; szakvélemény-kiegészítés; nem összehasonlítható árak; hiányzó műszaki dokumentáció.</w:t>
      </w:r>
    </w:p>
    <w:p>
      <w:pPr>
        <w:pStyle w:val="Heading3"/>
      </w:pPr>
      <w:r>
        <w:rPr>
          <w:b w:val="0"/>
        </w:rPr>
        <w:t>F. Folyamatos törvényességi és jogvédelmi munka</w:t>
      </w:r>
      <w:bookmarkStart w:id="20" w:name="chapter1-h43"/>
      <w:bookmarkEnd w:id="20"/>
    </w:p>
    <w:p>
      <w:pPr/>
      <w:r>
        <w:rPr>
          <w:b w:val="0"/>
        </w:rPr>
        <w:t>Panaszok, védői indítványok, iratmegismerés, kizárási kérdések, kényszerintézkedések indokoltsága és határidők követése. E munka nem „adminisztratív akadály”: hibája a későbbi bizonyítás használhatóságát és az eljárás tisztességességét érinti.</w:t>
      </w:r>
    </w:p>
    <w:p>
      <w:pPr/>
      <w:r>
        <w:rPr>
          <w:b/>
        </w:rPr>
        <w:t>Kimenet:</w:t>
      </w:r>
      <w:r>
        <w:rPr>
          <w:b w:val="0"/>
        </w:rPr>
        <w:t xml:space="preserve"> indokolt, határidőben meghozott döntés és dokumentált hozzáférési rend. </w:t>
      </w:r>
      <w:r>
        <w:rPr>
          <w:b/>
        </w:rPr>
        <w:t>Időveszteség:</w:t>
      </w:r>
      <w:r>
        <w:rPr>
          <w:b w:val="0"/>
        </w:rPr>
        <w:t xml:space="preserve"> széteső iratjegyzék, hibás anonimizálás, hiányzó kézbesítés, ismétlődő jogviták ugyanarról az adatról.</w:t>
      </w:r>
    </w:p>
    <w:p>
      <w:pPr>
        <w:pStyle w:val="Heading3"/>
      </w:pPr>
      <w:r>
        <w:rPr>
          <w:b w:val="0"/>
        </w:rPr>
        <w:t>G. Vádemelési döntés és vádirat</w:t>
      </w:r>
      <w:bookmarkStart w:id="21" w:name="chapter1-h46"/>
      <w:bookmarkEnd w:id="21"/>
    </w:p>
    <w:p>
      <w:pPr/>
      <w:r>
        <w:rPr>
          <w:b w:val="0"/>
        </w:rPr>
        <w:t>A történetet vádpontonként és személyenként kell rendezni. Mi bizonyítható, mivel, milyen jogi minősítéssel? Milyen mentő adat maradt megmagyarázatlan? Indokolt-e további nyomozás, elkülönítés, más eljárási megoldás vagy megszüntetés? A vádiratnak a tényállás mellett a bizonyítás szerkezetét is kezelhetővé kell tennie.</w:t>
      </w:r>
    </w:p>
    <w:p>
      <w:pPr/>
      <w:r>
        <w:rPr>
          <w:b/>
        </w:rPr>
        <w:t>Kimenet:</w:t>
      </w:r>
      <w:r>
        <w:rPr>
          <w:b w:val="0"/>
        </w:rPr>
        <w:t xml:space="preserve"> megalapozott eljárási döntés, adott esetben benyújtható vádirat és bizonyítási indítványok. </w:t>
      </w:r>
      <w:r>
        <w:rPr>
          <w:b/>
        </w:rPr>
        <w:t>Időveszteség:</w:t>
      </w:r>
      <w:r>
        <w:rPr>
          <w:b w:val="0"/>
        </w:rPr>
        <w:t xml:space="preserve"> a bizonyítékok rendszerezése csak a végén kezdődik; a jogi elemzés és a bizonyítás nem ugyanazokra a cselekményekre épül; túl nagy ügyben egymástól független részek is várnak egymásra.</w:t>
      </w:r>
    </w:p>
    <w:p>
      <w:pPr>
        <w:pStyle w:val="Heading2"/>
      </w:pPr>
      <w:r>
        <w:rPr>
          <w:b w:val="0"/>
        </w:rPr>
        <w:t>1.5. Mennyi időt vesznek igénybe a feladatok?</w:t>
      </w:r>
      <w:bookmarkStart w:id="22" w:name="chapter1-h49"/>
      <w:bookmarkEnd w:id="22"/>
    </w:p>
    <w:p>
      <w:pPr/>
      <w:r>
        <w:rPr>
          <w:b/>
        </w:rPr>
        <w:t>Nincs olyan ellenőrzött nyilvános magyar adatsor a kutatásban, amely nagy korrupciós ügyeknél feladatonként megmondaná az ügyészi munkaórákat és a külső várakozást.</w:t>
      </w:r>
      <w:r>
        <w:rPr>
          <w:b w:val="0"/>
        </w:rPr>
        <w:t xml:space="preserve"> A nyilvános ügyészségi statisztikák kiindulópontot adnak, de nem helyettesítik a feladatidő-mérést. Ezért az alábbi számok kizárólag kapacitástervezési becslések. </w:t>
      </w:r>
      <w:hyperlink w:anchor="F14">
        <w:r>
          <w:rPr>
            <w:color w:val="21618C"/>
          </w:rPr>
          <w:t>[F14]</w:t>
        </w:r>
      </w:hyperlink>
    </w:p>
    <w:p>
      <w:pPr/>
      <w:r>
        <w:rPr>
          <w:b/>
        </w:rPr>
        <w:t>Feltételezett referenciaügy:</w:t>
      </w:r>
      <w:r>
        <w:rPr>
          <w:b w:val="0"/>
        </w:rPr>
        <w:t xml:space="preserve"> 10–30 érintett cég; 3–8 potenciális terhelt; 20–60 tanú; 100 ezer–500 ezer elektronikus tétel a csatolmányokkal együtt; 100–500 óra hang; 1–3 gazdasági vagy műszaki szakkérdés. Az egyes sorok eltérő munkacsomagokat jelölnek; időtartamaik átfedhetnek, ezért nem összeadandók. Egy embernap 8 munkaóra, az erőfeszítés az egész megjelölt szakmai csapatra vonatkozik, nem csak az ügyészre.</w:t>
      </w:r>
    </w:p>
    <w:tbl>
      <w:tblPr>
        <w:tblW w:type="dxa" w:w="9360"/>
        <w:jc w:val="left"/>
        <w:tblLayout w:type="fixed"/>
        <w:tblLook w:firstColumn="1" w:firstRow="1" w:lastColumn="0" w:lastRow="0" w:noHBand="0" w:noVBand="1" w:val="04A0"/>
        <w:tblInd w:type="dxa" w:w="120"/>
        <w:tblCellMar>
          <w:top w:w="80" w:type="dxa"/>
          <w:bottom w:w="80" w:type="dxa"/>
          <w:start w:w="120" w:type="dxa"/>
          <w:end w:w="120" w:type="dxa"/>
        </w:tblCellMar>
        <w:tblBorders>
          <w:top w:val="single" w:sz="4" w:color="D9E0E5"/>
          <w:left w:val="single" w:sz="4" w:color="D9E0E5"/>
          <w:bottom w:val="single" w:sz="4" w:color="D9E0E5"/>
          <w:right w:val="single" w:sz="4" w:color="D9E0E5"/>
          <w:insideH w:val="single" w:sz="4" w:color="D9E0E5"/>
          <w:insideV w:val="single" w:sz="4" w:color="D9E0E5"/>
        </w:tblBorders>
      </w:tblPr>
      <w:tblGrid>
        <w:gridCol w:w="2400"/>
        <w:gridCol w:w="2320"/>
        <w:gridCol w:w="2320"/>
        <w:gridCol w:w="2320"/>
      </w:tblGrid>
      <w:tr>
        <w:trPr>
          <w:tblHeader/>
          <w:cantSplit/>
        </w:trPr>
        <w:tc>
          <w:tcPr>
            <w:tcW w:type="dxa" w:w="2400"/>
            <w:vAlign w:val="top"/>
            <w:shd w:fill="F2F4F7"/>
          </w:tcPr>
          <w:p>
            <w:pPr>
              <w:pStyle w:val="TableText"/>
              <w:keepNext/>
            </w:pPr>
            <w:r>
              <w:rPr>
                <w:b/>
              </w:rPr>
              <w:t>Munkacsomag</w:t>
            </w:r>
          </w:p>
        </w:tc>
        <w:tc>
          <w:tcPr>
            <w:tcW w:type="dxa" w:w="2320"/>
            <w:vAlign w:val="top"/>
            <w:shd w:fill="F2F4F7"/>
          </w:tcPr>
          <w:p>
            <w:pPr>
              <w:pStyle w:val="TableText"/>
              <w:keepNext/>
            </w:pPr>
            <w:r>
              <w:rPr>
                <w:b/>
              </w:rPr>
              <w:t>Aktív ráfordítás – becslés</w:t>
            </w:r>
          </w:p>
        </w:tc>
        <w:tc>
          <w:tcPr>
            <w:tcW w:type="dxa" w:w="2320"/>
            <w:vAlign w:val="top"/>
            <w:shd w:fill="F2F4F7"/>
          </w:tcPr>
          <w:p>
            <w:pPr>
              <w:pStyle w:val="TableText"/>
              <w:keepNext/>
            </w:pPr>
            <w:r>
              <w:rPr>
                <w:b/>
              </w:rPr>
              <w:t>Naptári átfutás – becslés</w:t>
            </w:r>
          </w:p>
        </w:tc>
        <w:tc>
          <w:tcPr>
            <w:tcW w:type="dxa" w:w="2320"/>
            <w:vAlign w:val="top"/>
            <w:shd w:fill="F2F4F7"/>
          </w:tcPr>
          <w:p>
            <w:pPr>
              <w:pStyle w:val="TableText"/>
              <w:keepNext/>
            </w:pPr>
            <w:r>
              <w:rPr>
                <w:b/>
              </w:rPr>
              <w:t>Elsődleges fék</w:t>
            </w:r>
          </w:p>
        </w:tc>
      </w:tr>
      <w:tr>
        <w:trPr>
          <w:cantSplit/>
        </w:trPr>
        <w:tc>
          <w:tcPr>
            <w:tcW w:type="dxa" w:w="2400"/>
            <w:vAlign w:val="top"/>
          </w:tcPr>
          <w:p>
            <w:pPr>
              <w:pStyle w:val="TableText"/>
            </w:pPr>
            <w:r>
              <w:rPr>
                <w:b w:val="0"/>
              </w:rPr>
              <w:t>Ügyindító jogi szűrés</w:t>
            </w:r>
          </w:p>
        </w:tc>
        <w:tc>
          <w:tcPr>
            <w:tcW w:type="dxa" w:w="2320"/>
            <w:vAlign w:val="top"/>
          </w:tcPr>
          <w:p>
            <w:pPr>
              <w:pStyle w:val="TableText"/>
            </w:pPr>
            <w:r>
              <w:rPr>
                <w:b w:val="0"/>
              </w:rPr>
              <w:t>2–10 embernap</w:t>
            </w:r>
          </w:p>
        </w:tc>
        <w:tc>
          <w:tcPr>
            <w:tcW w:type="dxa" w:w="2320"/>
            <w:vAlign w:val="top"/>
          </w:tcPr>
          <w:p>
            <w:pPr>
              <w:pStyle w:val="TableText"/>
            </w:pPr>
            <w:r>
              <w:rPr>
                <w:b w:val="0"/>
              </w:rPr>
              <w:t>1–3 hét</w:t>
            </w:r>
          </w:p>
        </w:tc>
        <w:tc>
          <w:tcPr>
            <w:tcW w:type="dxa" w:w="2320"/>
            <w:vAlign w:val="top"/>
          </w:tcPr>
          <w:p>
            <w:pPr>
              <w:pStyle w:val="TableText"/>
            </w:pPr>
            <w:r>
              <w:rPr>
                <w:b w:val="0"/>
              </w:rPr>
              <w:t>Az állítás és az ügyhatár tisztázása</w:t>
            </w:r>
          </w:p>
        </w:tc>
      </w:tr>
      <w:tr>
        <w:trPr>
          <w:cantSplit/>
        </w:trPr>
        <w:tc>
          <w:tcPr>
            <w:tcW w:type="dxa" w:w="2400"/>
            <w:vAlign w:val="top"/>
          </w:tcPr>
          <w:p>
            <w:pPr>
              <w:pStyle w:val="TableText"/>
            </w:pPr>
            <w:r>
              <w:rPr>
                <w:b w:val="0"/>
              </w:rPr>
              <w:t>Első bizonyítási terv</w:t>
            </w:r>
          </w:p>
        </w:tc>
        <w:tc>
          <w:tcPr>
            <w:tcW w:type="dxa" w:w="2320"/>
            <w:vAlign w:val="top"/>
          </w:tcPr>
          <w:p>
            <w:pPr>
              <w:pStyle w:val="TableText"/>
            </w:pPr>
            <w:r>
              <w:rPr>
                <w:b w:val="0"/>
              </w:rPr>
              <w:t>5–20 embernap</w:t>
            </w:r>
          </w:p>
        </w:tc>
        <w:tc>
          <w:tcPr>
            <w:tcW w:type="dxa" w:w="2320"/>
            <w:vAlign w:val="top"/>
          </w:tcPr>
          <w:p>
            <w:pPr>
              <w:pStyle w:val="TableText"/>
            </w:pPr>
            <w:r>
              <w:rPr>
                <w:b w:val="0"/>
              </w:rPr>
              <w:t>1–4 hét</w:t>
            </w:r>
          </w:p>
        </w:tc>
        <w:tc>
          <w:tcPr>
            <w:tcW w:type="dxa" w:w="2320"/>
            <w:vAlign w:val="top"/>
          </w:tcPr>
          <w:p>
            <w:pPr>
              <w:pStyle w:val="TableText"/>
            </w:pPr>
            <w:r>
              <w:rPr>
                <w:b w:val="0"/>
              </w:rPr>
              <w:t>Hiányzó vagy egymásnak ellentmondó alapadat</w:t>
            </w:r>
          </w:p>
        </w:tc>
      </w:tr>
      <w:tr>
        <w:trPr>
          <w:cantSplit/>
        </w:trPr>
        <w:tc>
          <w:tcPr>
            <w:tcW w:type="dxa" w:w="2400"/>
            <w:vAlign w:val="top"/>
          </w:tcPr>
          <w:p>
            <w:pPr>
              <w:pStyle w:val="TableText"/>
            </w:pPr>
            <w:r>
              <w:rPr>
                <w:b w:val="0"/>
              </w:rPr>
              <w:t>Belföldi beszerzési kör koordinálása</w:t>
            </w:r>
          </w:p>
        </w:tc>
        <w:tc>
          <w:tcPr>
            <w:tcW w:type="dxa" w:w="2320"/>
            <w:vAlign w:val="top"/>
          </w:tcPr>
          <w:p>
            <w:pPr>
              <w:pStyle w:val="TableText"/>
            </w:pPr>
            <w:r>
              <w:rPr>
                <w:b w:val="0"/>
              </w:rPr>
              <w:t>5–20 embernap</w:t>
            </w:r>
          </w:p>
        </w:tc>
        <w:tc>
          <w:tcPr>
            <w:tcW w:type="dxa" w:w="2320"/>
            <w:vAlign w:val="top"/>
          </w:tcPr>
          <w:p>
            <w:pPr>
              <w:pStyle w:val="TableText"/>
            </w:pPr>
            <w:r>
              <w:rPr>
                <w:b w:val="0"/>
              </w:rPr>
              <w:t>2–8 hét/kör</w:t>
            </w:r>
          </w:p>
        </w:tc>
        <w:tc>
          <w:tcPr>
            <w:tcW w:type="dxa" w:w="2320"/>
            <w:vAlign w:val="top"/>
          </w:tcPr>
          <w:p>
            <w:pPr>
              <w:pStyle w:val="TableText"/>
            </w:pPr>
            <w:r>
              <w:rPr>
                <w:b w:val="0"/>
              </w:rPr>
              <w:t>Válaszidő és hiánypótlás</w:t>
            </w:r>
          </w:p>
        </w:tc>
      </w:tr>
      <w:tr>
        <w:trPr>
          <w:cantSplit/>
        </w:trPr>
        <w:tc>
          <w:tcPr>
            <w:tcW w:type="dxa" w:w="2400"/>
            <w:vAlign w:val="top"/>
          </w:tcPr>
          <w:p>
            <w:pPr>
              <w:pStyle w:val="TableText"/>
            </w:pPr>
            <w:r>
              <w:rPr>
                <w:b w:val="0"/>
              </w:rPr>
              <w:t>Digitális adatbevitel és minőségellenőrzés</w:t>
            </w:r>
          </w:p>
        </w:tc>
        <w:tc>
          <w:tcPr>
            <w:tcW w:type="dxa" w:w="2320"/>
            <w:vAlign w:val="top"/>
          </w:tcPr>
          <w:p>
            <w:pPr>
              <w:pStyle w:val="TableText"/>
            </w:pPr>
            <w:r>
              <w:rPr>
                <w:b w:val="0"/>
              </w:rPr>
              <w:t>10–40 embernap</w:t>
            </w:r>
          </w:p>
        </w:tc>
        <w:tc>
          <w:tcPr>
            <w:tcW w:type="dxa" w:w="2320"/>
            <w:vAlign w:val="top"/>
          </w:tcPr>
          <w:p>
            <w:pPr>
              <w:pStyle w:val="TableText"/>
            </w:pPr>
            <w:r>
              <w:rPr>
                <w:b w:val="0"/>
              </w:rPr>
              <w:t>1–6 hét</w:t>
            </w:r>
          </w:p>
        </w:tc>
        <w:tc>
          <w:tcPr>
            <w:tcW w:type="dxa" w:w="2320"/>
            <w:vAlign w:val="top"/>
          </w:tcPr>
          <w:p>
            <w:pPr>
              <w:pStyle w:val="TableText"/>
            </w:pPr>
            <w:r>
              <w:rPr>
                <w:b w:val="0"/>
              </w:rPr>
              <w:t>Formátum, mennyiség, titkosítás</w:t>
            </w:r>
          </w:p>
        </w:tc>
      </w:tr>
      <w:tr>
        <w:trPr>
          <w:cantSplit/>
        </w:trPr>
        <w:tc>
          <w:tcPr>
            <w:tcW w:type="dxa" w:w="2400"/>
            <w:vAlign w:val="top"/>
          </w:tcPr>
          <w:p>
            <w:pPr>
              <w:pStyle w:val="TableText"/>
            </w:pPr>
            <w:r>
              <w:rPr>
                <w:b w:val="0"/>
              </w:rPr>
              <w:t>Iratok első tartalmi feldolgozása</w:t>
            </w:r>
          </w:p>
        </w:tc>
        <w:tc>
          <w:tcPr>
            <w:tcW w:type="dxa" w:w="2320"/>
            <w:vAlign w:val="top"/>
          </w:tcPr>
          <w:p>
            <w:pPr>
              <w:pStyle w:val="TableText"/>
            </w:pPr>
            <w:r>
              <w:rPr>
                <w:b w:val="0"/>
              </w:rPr>
              <w:t>Külön volumenszámítás szerint</w:t>
            </w:r>
          </w:p>
        </w:tc>
        <w:tc>
          <w:tcPr>
            <w:tcW w:type="dxa" w:w="2320"/>
            <w:vAlign w:val="top"/>
          </w:tcPr>
          <w:p>
            <w:pPr>
              <w:pStyle w:val="TableText"/>
            </w:pPr>
            <w:r>
              <w:rPr>
                <w:b w:val="0"/>
              </w:rPr>
              <w:t>Hetek–hónapok</w:t>
            </w:r>
          </w:p>
        </w:tc>
        <w:tc>
          <w:tcPr>
            <w:tcW w:type="dxa" w:w="2320"/>
            <w:vAlign w:val="top"/>
          </w:tcPr>
          <w:p>
            <w:pPr>
              <w:pStyle w:val="TableText"/>
            </w:pPr>
            <w:r>
              <w:rPr>
                <w:b w:val="0"/>
              </w:rPr>
              <w:t>Releváns adatok aránya és ellenőrzési kapacitás</w:t>
            </w:r>
          </w:p>
        </w:tc>
      </w:tr>
      <w:tr>
        <w:trPr>
          <w:cantSplit/>
        </w:trPr>
        <w:tc>
          <w:tcPr>
            <w:tcW w:type="dxa" w:w="2400"/>
            <w:vAlign w:val="top"/>
          </w:tcPr>
          <w:p>
            <w:pPr>
              <w:pStyle w:val="TableText"/>
            </w:pPr>
            <w:r>
              <w:rPr>
                <w:b w:val="0"/>
              </w:rPr>
              <w:t>Egy tanú teljes munkacsomagja</w:t>
            </w:r>
          </w:p>
        </w:tc>
        <w:tc>
          <w:tcPr>
            <w:tcW w:type="dxa" w:w="2320"/>
            <w:vAlign w:val="top"/>
          </w:tcPr>
          <w:p>
            <w:pPr>
              <w:pStyle w:val="TableText"/>
            </w:pPr>
            <w:r>
              <w:rPr>
                <w:b w:val="0"/>
              </w:rPr>
              <w:t>0,5–2 embernap</w:t>
            </w:r>
          </w:p>
        </w:tc>
        <w:tc>
          <w:tcPr>
            <w:tcW w:type="dxa" w:w="2320"/>
            <w:vAlign w:val="top"/>
          </w:tcPr>
          <w:p>
            <w:pPr>
              <w:pStyle w:val="TableText"/>
            </w:pPr>
            <w:r>
              <w:rPr>
                <w:b w:val="0"/>
              </w:rPr>
              <w:t>1–4 hét szervezéssel</w:t>
            </w:r>
          </w:p>
        </w:tc>
        <w:tc>
          <w:tcPr>
            <w:tcW w:type="dxa" w:w="2320"/>
            <w:vAlign w:val="top"/>
          </w:tcPr>
          <w:p>
            <w:pPr>
              <w:pStyle w:val="TableText"/>
            </w:pPr>
            <w:r>
              <w:rPr>
                <w:b w:val="0"/>
              </w:rPr>
              <w:t>Időpont, előkészítés, utóellenőrzés</w:t>
            </w:r>
          </w:p>
        </w:tc>
      </w:tr>
      <w:tr>
        <w:trPr>
          <w:cantSplit/>
        </w:trPr>
        <w:tc>
          <w:tcPr>
            <w:tcW w:type="dxa" w:w="2400"/>
            <w:vAlign w:val="top"/>
          </w:tcPr>
          <w:p>
            <w:pPr>
              <w:pStyle w:val="TableText"/>
            </w:pPr>
            <w:r>
              <w:rPr>
                <w:b w:val="0"/>
              </w:rPr>
              <w:t>100 óra hang hiteles ellenőrzése</w:t>
            </w:r>
          </w:p>
        </w:tc>
        <w:tc>
          <w:tcPr>
            <w:tcW w:type="dxa" w:w="2320"/>
            <w:vAlign w:val="top"/>
          </w:tcPr>
          <w:p>
            <w:pPr>
              <w:pStyle w:val="TableText"/>
            </w:pPr>
            <w:r>
              <w:rPr>
                <w:b w:val="0"/>
              </w:rPr>
              <w:t>25–75 embernap</w:t>
            </w:r>
          </w:p>
        </w:tc>
        <w:tc>
          <w:tcPr>
            <w:tcW w:type="dxa" w:w="2320"/>
            <w:vAlign w:val="top"/>
          </w:tcPr>
          <w:p>
            <w:pPr>
              <w:pStyle w:val="TableText"/>
            </w:pPr>
            <w:r>
              <w:rPr>
                <w:b w:val="0"/>
              </w:rPr>
              <w:t>2–8 hét csapattal</w:t>
            </w:r>
          </w:p>
        </w:tc>
        <w:tc>
          <w:tcPr>
            <w:tcW w:type="dxa" w:w="2320"/>
            <w:vAlign w:val="top"/>
          </w:tcPr>
          <w:p>
            <w:pPr>
              <w:pStyle w:val="TableText"/>
            </w:pPr>
            <w:r>
              <w:rPr>
                <w:b w:val="0"/>
              </w:rPr>
              <w:t>Hangminőség, beszélők, visszahallgatás</w:t>
            </w:r>
          </w:p>
        </w:tc>
      </w:tr>
      <w:tr>
        <w:trPr>
          <w:cantSplit/>
        </w:trPr>
        <w:tc>
          <w:tcPr>
            <w:tcW w:type="dxa" w:w="2400"/>
            <w:vAlign w:val="top"/>
          </w:tcPr>
          <w:p>
            <w:pPr>
              <w:pStyle w:val="TableText"/>
            </w:pPr>
            <w:r>
              <w:rPr>
                <w:b w:val="0"/>
              </w:rPr>
              <w:t>Szakértői kérdés és szakvélemény kezelése</w:t>
            </w:r>
          </w:p>
        </w:tc>
        <w:tc>
          <w:tcPr>
            <w:tcW w:type="dxa" w:w="2320"/>
            <w:vAlign w:val="top"/>
          </w:tcPr>
          <w:p>
            <w:pPr>
              <w:pStyle w:val="TableText"/>
            </w:pPr>
            <w:r>
              <w:rPr>
                <w:b w:val="0"/>
              </w:rPr>
              <w:t>5–20 belső embernap</w:t>
            </w:r>
          </w:p>
        </w:tc>
        <w:tc>
          <w:tcPr>
            <w:tcW w:type="dxa" w:w="2320"/>
            <w:vAlign w:val="top"/>
          </w:tcPr>
          <w:p>
            <w:pPr>
              <w:pStyle w:val="TableText"/>
            </w:pPr>
            <w:r>
              <w:rPr>
                <w:b w:val="0"/>
              </w:rPr>
              <w:t>2–6 hónap teljes csomag</w:t>
            </w:r>
          </w:p>
        </w:tc>
        <w:tc>
          <w:tcPr>
            <w:tcW w:type="dxa" w:w="2320"/>
            <w:vAlign w:val="top"/>
          </w:tcPr>
          <w:p>
            <w:pPr>
              <w:pStyle w:val="TableText"/>
            </w:pPr>
            <w:r>
              <w:rPr>
                <w:b w:val="0"/>
              </w:rPr>
              <w:t>Adatpótlás és szakmai kapacitás</w:t>
            </w:r>
          </w:p>
        </w:tc>
      </w:tr>
      <w:tr>
        <w:trPr>
          <w:cantSplit/>
        </w:trPr>
        <w:tc>
          <w:tcPr>
            <w:tcW w:type="dxa" w:w="2400"/>
            <w:vAlign w:val="top"/>
          </w:tcPr>
          <w:p>
            <w:pPr>
              <w:pStyle w:val="TableText"/>
            </w:pPr>
            <w:r>
              <w:rPr>
                <w:b w:val="0"/>
              </w:rPr>
              <w:t>Külföldi bizonyítékbeszerzés</w:t>
            </w:r>
          </w:p>
        </w:tc>
        <w:tc>
          <w:tcPr>
            <w:tcW w:type="dxa" w:w="2320"/>
            <w:vAlign w:val="top"/>
          </w:tcPr>
          <w:p>
            <w:pPr>
              <w:pStyle w:val="TableText"/>
            </w:pPr>
            <w:r>
              <w:rPr>
                <w:b w:val="0"/>
              </w:rPr>
              <w:t>5–20 belső embernap</w:t>
            </w:r>
          </w:p>
        </w:tc>
        <w:tc>
          <w:tcPr>
            <w:tcW w:type="dxa" w:w="2320"/>
            <w:vAlign w:val="top"/>
          </w:tcPr>
          <w:p>
            <w:pPr>
              <w:pStyle w:val="TableText"/>
            </w:pPr>
            <w:r>
              <w:rPr>
                <w:b w:val="0"/>
              </w:rPr>
              <w:t>2–12+ hónap</w:t>
            </w:r>
          </w:p>
        </w:tc>
        <w:tc>
          <w:tcPr>
            <w:tcW w:type="dxa" w:w="2320"/>
            <w:vAlign w:val="top"/>
          </w:tcPr>
          <w:p>
            <w:pPr>
              <w:pStyle w:val="TableText"/>
            </w:pPr>
            <w:r>
              <w:rPr>
                <w:b w:val="0"/>
              </w:rPr>
              <w:t>Jogsegély, végrehajtás, helyi akadály</w:t>
            </w:r>
          </w:p>
        </w:tc>
      </w:tr>
      <w:tr>
        <w:trPr>
          <w:cantSplit/>
        </w:trPr>
        <w:tc>
          <w:tcPr>
            <w:tcW w:type="dxa" w:w="2400"/>
            <w:vAlign w:val="top"/>
          </w:tcPr>
          <w:p>
            <w:pPr>
              <w:pStyle w:val="TableText"/>
            </w:pPr>
            <w:r>
              <w:rPr>
                <w:b w:val="0"/>
              </w:rPr>
              <w:t>Vádirat és végső ellenőrzés</w:t>
            </w:r>
          </w:p>
        </w:tc>
        <w:tc>
          <w:tcPr>
            <w:tcW w:type="dxa" w:w="2320"/>
            <w:vAlign w:val="top"/>
          </w:tcPr>
          <w:p>
            <w:pPr>
              <w:pStyle w:val="TableText"/>
            </w:pPr>
            <w:r>
              <w:rPr>
                <w:b w:val="0"/>
              </w:rPr>
              <w:t>15–50 embernap</w:t>
            </w:r>
          </w:p>
        </w:tc>
        <w:tc>
          <w:tcPr>
            <w:tcW w:type="dxa" w:w="2320"/>
            <w:vAlign w:val="top"/>
          </w:tcPr>
          <w:p>
            <w:pPr>
              <w:pStyle w:val="TableText"/>
            </w:pPr>
            <w:r>
              <w:rPr>
                <w:b w:val="0"/>
              </w:rPr>
              <w:t>1–3 hónap</w:t>
            </w:r>
          </w:p>
        </w:tc>
        <w:tc>
          <w:tcPr>
            <w:tcW w:type="dxa" w:w="2320"/>
            <w:vAlign w:val="top"/>
          </w:tcPr>
          <w:p>
            <w:pPr>
              <w:pStyle w:val="TableText"/>
            </w:pPr>
            <w:r>
              <w:rPr>
                <w:b w:val="0"/>
              </w:rPr>
              <w:t>Rendezetlen tény- és bizonyítékanyag</w:t>
            </w:r>
          </w:p>
        </w:tc>
      </w:tr>
    </w:tbl>
    <w:p>
      <w:pPr>
        <w:spacing w:after="80"/>
      </w:pPr>
    </w:p>
    <w:p>
      <w:pPr/>
      <w:r>
        <w:rPr>
          <w:b w:val="0"/>
        </w:rPr>
        <w:t xml:space="preserve">A 2–6 hónapos szakértői munkacsomag-becslés </w:t>
      </w:r>
      <w:r>
        <w:rPr>
          <w:b/>
        </w:rPr>
        <w:t>nem egyetlen szakvélemény törvényi határideje</w:t>
      </w:r>
      <w:r>
        <w:rPr>
          <w:b w:val="0"/>
        </w:rPr>
        <w:t>. Magában foglalja a megfelelő szakértő kiválasztását, az adatok előkészítését és a kiegészítő kérdések kezelését. Ugyanígy a nemzetközi sor nem minden megkeresésre irányadó jogi határidő.</w:t>
      </w:r>
    </w:p>
    <w:p>
      <w:pPr>
        <w:pStyle w:val="Heading3"/>
      </w:pPr>
      <w:r>
        <w:rPr>
          <w:b w:val="0"/>
        </w:rPr>
        <w:t>Jogszabályi határidő és projektbecslés: négy fontos különbség</w:t>
      </w:r>
      <w:bookmarkStart w:id="23" w:name="chapter1-h54"/>
      <w:bookmarkEnd w:id="23"/>
    </w:p>
    <w:p>
      <w:pPr/>
      <w:r>
        <w:rPr>
          <w:b w:val="0"/>
        </w:rPr>
        <w:t xml:space="preserve">A Be. 351. § szerint a gyanúsítotti kihallgatástól számított alapidő a büntetési tételtől függően 1, 2 vagy 3 év: legfeljebb hároméves tételnél egy év; köztes esetben két év; nyolcéves vagy súlyosabb tételnél három év. Ügyészi és feltételes felettes ügyészségi hosszabbítás lehetséges. Több gyanúsítottnál külön számítás, valamint átmeneti és fogvatartási korlátok is relevánsak. Nem helyes az „összes nyomozás két év” állítás. </w:t>
      </w:r>
      <w:hyperlink w:anchor="F15">
        <w:r>
          <w:rPr>
            <w:color w:val="21618C"/>
          </w:rPr>
          <w:t>[F15]</w:t>
        </w:r>
      </w:hyperlink>
    </w:p>
    <w:p>
      <w:pPr/>
      <w:r>
        <w:rPr>
          <w:b w:val="0"/>
        </w:rPr>
        <w:t xml:space="preserve">A Be. 352. § szerinti teljes iratmegismerést főszabály szerint legalább egy hónappal a vádemelés előtt biztosítani kell; rövidítéséhez vagy mellőzéséhez a terhelt és védő hozzájárulása szükséges. A szakvéleményre a Be. 189. § (6) bekezdése főszabályként legfeljebb két hónapot, egyszer legfeljebb egy hónapos hosszabbítást ír elő. </w:t>
      </w:r>
      <w:hyperlink w:anchor="F15">
        <w:r>
          <w:rPr>
            <w:color w:val="21618C"/>
          </w:rPr>
          <w:t>[F15]</w:t>
        </w:r>
      </w:hyperlink>
    </w:p>
    <w:p>
      <w:pPr/>
      <w:r>
        <w:rPr>
          <w:b w:val="0"/>
        </w:rPr>
        <w:t xml:space="preserve">Az európai nyomozási határozatnál az elismerési döntés és a végrehajtás főszabályi 30, illetve 90 napos rendje nem azonos a teljes ügy átfutásával; vannak kivételek és gyakorlati akadályok. </w:t>
      </w:r>
      <w:hyperlink w:anchor="F16">
        <w:r>
          <w:rPr>
            <w:color w:val="21618C"/>
          </w:rPr>
          <w:t>[F16]</w:t>
        </w:r>
      </w:hyperlink>
    </w:p>
    <w:p>
      <w:pPr/>
      <w:r>
        <w:rPr>
          <w:b w:val="0"/>
        </w:rPr>
        <w:t xml:space="preserve">Az uniós elektronikus bizonyítékcsomag külön gyorsítási lehetőség: az európai közlésre kötelező határozat meghatározott feltételekkel közvetlen szolgáltatói megkeresést tesz lehetővé, általában 10 napos, szűken meghatározott sürgős esetben 8 órás teljesítéssel. A megőrzési és közlési határozatot meg kell különböztetni. A 2026-os indulásnál országonkénti és technikai készültséget is ellenőrizni kell; nem minden elektronikus adatra és szolgáltatóra alkalmazható ugyanúgy. </w:t>
      </w:r>
      <w:hyperlink w:anchor="F17">
        <w:r>
          <w:rPr>
            <w:color w:val="21618C"/>
          </w:rPr>
          <w:t>[F17]</w:t>
        </w:r>
      </w:hyperlink>
    </w:p>
    <w:p>
      <w:pPr>
        <w:pStyle w:val="Heading3"/>
      </w:pPr>
      <w:r>
        <w:rPr>
          <w:b w:val="0"/>
        </w:rPr>
        <w:t>Mi viszi igazán az időt?</w:t>
      </w:r>
      <w:bookmarkStart w:id="24" w:name="chapter1-h59"/>
      <w:bookmarkEnd w:id="24"/>
    </w:p>
    <w:p>
      <w:pPr/>
      <w:r>
        <w:rPr>
          <w:b/>
        </w:rPr>
        <w:t>1. A hiányzó bizonyíték megszerzése.</w:t>
      </w:r>
      <w:r>
        <w:rPr>
          <w:b w:val="0"/>
        </w:rPr>
        <w:t xml:space="preserve"> A nyelvi modell nem látja a be nem szerzett csatolmányt, eltűnt üzenetet vagy külföldi bankszámlát. Korai, pontos adatmegőrzés és célzott beszerzés nélkül a jobb kereső csak a hiányos aktában keres gyorsabban.</w:t>
      </w:r>
    </w:p>
    <w:p>
      <w:pPr/>
      <w:r>
        <w:rPr>
          <w:b/>
        </w:rPr>
        <w:t>2. Az adatok összerendezése.</w:t>
      </w:r>
      <w:r>
        <w:rPr>
          <w:b w:val="0"/>
        </w:rPr>
        <w:t xml:space="preserve"> A pénzügyi kivonat, szerződés, e-mail és vallomás más azonosítót használ. Gyakran az viszi el az időt, hogy kiderüljön: ugyanarról a projektről beszélnek-e. A strukturált adategyeztetés legalább olyan fontos, mint a generatív AI.</w:t>
      </w:r>
    </w:p>
    <w:p>
      <w:pPr/>
      <w:r>
        <w:rPr>
          <w:b/>
        </w:rPr>
        <w:t>3. Szándék, személyes szerep és gazdasági realitás.</w:t>
      </w:r>
      <w:r>
        <w:rPr>
          <w:b w:val="0"/>
        </w:rPr>
        <w:t xml:space="preserve"> A formális aláíró nem feltétlenül azonos a tényleges döntéshozóval, de a hierarchiában elfoglalt hely önmagában nem bizonyít részvételt. A rossz üzleti eredmény és a szándékos vagyonkárosítás elhatárolása külön elemzés.</w:t>
      </w:r>
    </w:p>
    <w:p>
      <w:pPr/>
      <w:r>
        <w:rPr>
          <w:b/>
        </w:rPr>
        <w:t>4. Szakértő, külföld, sokszereplős ügy.</w:t>
      </w:r>
      <w:r>
        <w:rPr>
          <w:b w:val="0"/>
        </w:rPr>
        <w:t xml:space="preserve"> Ha ezek a leghosszabb függőségi lánc elemei, a dokumentumolvasás felezése sem felezi meg az ügyet. Az egymástól független feladatok jogszerű párhuzamosítása és a hiánypótlási körök csökkentése hozhat áttörést.</w:t>
      </w:r>
    </w:p>
    <w:p>
      <w:pPr/>
      <w:r>
        <w:rPr>
          <w:b/>
        </w:rPr>
        <w:t>5. Újramunka.</w:t>
      </w:r>
      <w:r>
        <w:rPr>
          <w:b w:val="0"/>
        </w:rPr>
        <w:t xml:space="preserve"> Hiányos iratjegyzék, elhibázott keresés, későn felismert védői titok, nem reprodukálható számítás. A kezdeti minőségellenőrzés munkaigényes, de kisebb költség lehet, mint hónapok múlva újra elvégezni a feldolgozást.</w:t>
      </w:r>
    </w:p>
    <w:p>
      <w:pPr>
        <w:pStyle w:val="Heading2"/>
      </w:pPr>
      <w:r>
        <w:rPr>
          <w:b w:val="0"/>
        </w:rPr>
        <w:t>1.6. Az iratolvasási feltételezés számszerű próbája</w:t>
      </w:r>
      <w:bookmarkStart w:id="25" w:name="chapter1-h65"/>
      <w:bookmarkEnd w:id="25"/>
    </w:p>
    <w:p>
      <w:pPr/>
      <w:r>
        <w:rPr>
          <w:b/>
        </w:rPr>
        <w:t>Szemléltető számítás, nem mért teljesítmény:</w:t>
      </w:r>
      <w:r>
        <w:rPr>
          <w:b w:val="0"/>
        </w:rPr>
        <w:t xml:space="preserve"> 300 000 tételből pontos duplikátumok és e-mail-szálak kezelése után 90 000 felülvizsgálati egység marad. Feltételezett 30 egység/óra mellett az első teljes átolvasás 3000 óra. Hat olvasó, napi öt tényleges feldolgozási órával 100 munkanap alatt végezne. A hosszú szerződés és az egysoros levél nem azonos munka; az egységdefiníciót a próba során rögzíteni kell.</w:t>
      </w:r>
    </w:p>
    <w:p>
      <w:pPr/>
      <w:r>
        <w:rPr>
          <w:b w:val="0"/>
        </w:rPr>
        <w:t>Egy lehetséges AI-támogatott változatban 25 000 kiemelt egység ellenőrzése 833 óra, 3000 mintázott negatív egységé 100 óra, beállítás és minőségvizsgálat 250 óra, összetett ellenőrzés és újramunka 400 óra: összesen 1583 óra, azaz hozzávetőleg 47%-kal kevesebb munka. A 25 000-es és 3000-es darabszám nem ajánlott univerzális küszöb, csak számítási példa. A nem kiemelt iratok elhagyását igazoló minőségvizsgálat nélkül ez a megtakarítás nem tekinthető elfogadhatónak.</w:t>
      </w:r>
    </w:p>
    <w:p>
      <w:pPr/>
      <w:r>
        <w:rPr>
          <w:b w:val="0"/>
        </w:rPr>
        <w:t>A teljes ügy időnyeresége ennél kisebb lehet. Ha egy tizenkét hónapos, példabeli ügy kritikus munkaláncából öt hónap érdemben javítható, annak 40%-os rövidítése két hónap nyereséget ad: tizenkettő helyett tíz hónapot. Ha a külföldi adat ennél később érkezik, a naptári nyereség kisebb vagy nulla, miközben munkaóra akkor is felszabadulhat.</w:t>
      </w:r>
    </w:p>
    <w:p>
      <w:pPr/>
      <w:r>
        <w:rPr>
          <w:b/>
        </w:rPr>
        <w:t>Mérési következmény:</w:t>
      </w:r>
      <w:r>
        <w:rPr>
          <w:b w:val="0"/>
        </w:rPr>
        <w:t xml:space="preserve"> külön kell jelenteni a felszabadult munkaórát, a beszerzési várakozást, a döntésig eltelt napokat és a bizonyítás minőségét. Ezekből áll össze a valódi eredmény.</w:t>
      </w:r>
    </w:p>
    <w:p>
      <w:r>
        <w:br w:type="page"/>
      </w:r>
    </w:p>
    <w:p>
      <w:pPr>
        <w:pStyle w:val="Heading1"/>
      </w:pPr>
      <w:r>
        <w:rPr>
          <w:b w:val="0"/>
        </w:rPr>
        <w:t>2. Mit kell megtalálni és bizonyítani?</w:t>
      </w:r>
      <w:bookmarkStart w:id="26" w:name="chapter2"/>
      <w:bookmarkEnd w:id="26"/>
    </w:p>
    <w:p>
      <w:pPr/>
      <w:r>
        <w:rPr>
          <w:b/>
        </w:rPr>
        <w:t>A fejezetben szereplő ügyek és számok kitalált szemléltető példák.</w:t>
      </w:r>
      <w:r>
        <w:rPr>
          <w:b w:val="0"/>
        </w:rPr>
        <w:t xml:space="preserve"> A kérdéssorok nyomozási és fejlesztési tervezést támogatnak; nem teljes kommentárok és nem konkrét ügyek jogi minősítései.</w:t>
      </w:r>
    </w:p>
    <w:p>
      <w:pPr>
        <w:pStyle w:val="Heading2"/>
      </w:pPr>
      <w:r>
        <w:rPr>
          <w:b w:val="0"/>
        </w:rPr>
        <w:t>2.1. Az alapegység: állítás, forrás, ellenőrzés, jogi jelentőség</w:t>
      </w:r>
      <w:bookmarkStart w:id="27" w:name="chapter2-h2"/>
      <w:bookmarkEnd w:id="27"/>
    </w:p>
    <w:p>
      <w:pPr/>
      <w:r>
        <w:rPr>
          <w:b w:val="0"/>
        </w:rPr>
        <w:t>Egy használható bizonyítási rendszerben négy dolgot nem szabad összeolvasztani:</w:t>
      </w:r>
    </w:p>
    <w:p>
      <w:pPr>
        <w:pStyle w:val="ListBullet"/>
        <w:numPr>
          <w:ilvl w:val="0"/>
          <w:numId w:val="11"/>
        </w:numPr>
      </w:pPr>
      <w:r>
        <w:rPr>
          <w:b/>
        </w:rPr>
        <w:t>Forrás:</w:t>
      </w:r>
      <w:r>
        <w:rPr>
          <w:b w:val="0"/>
        </w:rPr>
        <w:t xml:space="preserve"> például egy eredeti levél, bankszámlakivonat, szerződés vagy hangfelvétel.</w:t>
      </w:r>
    </w:p>
    <w:p>
      <w:pPr>
        <w:pStyle w:val="ListBullet"/>
        <w:numPr>
          <w:ilvl w:val="0"/>
          <w:numId w:val="11"/>
        </w:numPr>
      </w:pPr>
      <w:r>
        <w:rPr>
          <w:b/>
        </w:rPr>
        <w:t>Tényállítás:</w:t>
      </w:r>
      <w:r>
        <w:rPr>
          <w:b w:val="0"/>
        </w:rPr>
        <w:t xml:space="preserve"> például „a műszaki feltételek tervezetét a későbbi nyertes munkatársa küldte”.</w:t>
      </w:r>
    </w:p>
    <w:p>
      <w:pPr>
        <w:pStyle w:val="ListBullet"/>
        <w:numPr>
          <w:ilvl w:val="0"/>
          <w:numId w:val="11"/>
        </w:numPr>
      </w:pPr>
      <w:r>
        <w:rPr>
          <w:b/>
        </w:rPr>
        <w:t>Következtetés:</w:t>
      </w:r>
      <w:r>
        <w:rPr>
          <w:b w:val="0"/>
        </w:rPr>
        <w:t xml:space="preserve"> például „ez előzetes befolyásolásra utalhat”.</w:t>
      </w:r>
    </w:p>
    <w:p>
      <w:pPr>
        <w:pStyle w:val="ListBullet"/>
        <w:numPr>
          <w:ilvl w:val="0"/>
          <w:numId w:val="11"/>
        </w:numPr>
      </w:pPr>
      <w:r>
        <w:rPr>
          <w:b/>
        </w:rPr>
        <w:t>Jogi értékelés:</w:t>
      </w:r>
      <w:r>
        <w:rPr>
          <w:b w:val="0"/>
        </w:rPr>
        <w:t xml:space="preserve"> például mely tényállási elemhez kapcsolódhat, és mi hiányzik még annak bizonyításához.</w:t>
      </w:r>
    </w:p>
    <w:p>
      <w:pPr/>
      <w:r>
        <w:rPr>
          <w:b w:val="0"/>
        </w:rPr>
        <w:t>Az első kettő ellenőrzése nélkül a harmadik és negyedik szint könnyen megalapozatlan történetté válik. A nyelvi modell számára ezért nem általános „korrupciókeresés” a jó feladat, hanem körülhatárolt ténykérdés, pontos forráshelyekkel és alternatív magyarázatokkal.</w:t>
      </w:r>
    </w:p>
    <w:p>
      <w:pPr/>
      <w:r>
        <w:rPr>
          <w:b/>
        </w:rPr>
        <w:t>Bizonyítási minimumként nem létezik általános „három dokumentum”, „két tanú” vagy „90%-os AI-bizonyosság”.</w:t>
      </w:r>
      <w:r>
        <w:rPr>
          <w:b w:val="0"/>
        </w:rPr>
        <w:t xml:space="preserve"> A bizonyítási eszközök törvényes megszerzése és összességük emberi értékelése számít. A puszta gyanújel, a személyre vonatkozó megalapozott gyanú, a vádemelési döntés és a bírósági bűnösségmegállapítás eltérő helyzet. A kétséget kizáróan nem bizonyított tény nem értékelhető a terhelt terhére. </w:t>
      </w:r>
      <w:hyperlink w:anchor="F04">
        <w:r>
          <w:rPr>
            <w:color w:val="21618C"/>
          </w:rPr>
          <w:t>[F04]</w:t>
        </w:r>
      </w:hyperlink>
    </w:p>
    <w:p>
      <w:pPr>
        <w:pStyle w:val="Heading2"/>
      </w:pPr>
      <w:r>
        <w:rPr>
          <w:b w:val="0"/>
        </w:rPr>
        <w:t>2.2. Rövid jogi térkép</w:t>
      </w:r>
      <w:bookmarkStart w:id="28" w:name="chapter2-h7"/>
      <w:bookmarkEnd w:id="28"/>
    </w:p>
    <w:tbl>
      <w:tblPr>
        <w:tblW w:type="dxa" w:w="9360"/>
        <w:jc w:val="left"/>
        <w:tblLayout w:type="fixed"/>
        <w:tblLook w:firstColumn="1" w:firstRow="1" w:lastColumn="0" w:lastRow="0" w:noHBand="0" w:noVBand="1" w:val="04A0"/>
        <w:tblInd w:type="dxa" w:w="120"/>
        <w:tblCellMar>
          <w:top w:w="80" w:type="dxa"/>
          <w:bottom w:w="80" w:type="dxa"/>
          <w:start w:w="120" w:type="dxa"/>
          <w:end w:w="120" w:type="dxa"/>
        </w:tblCellMar>
        <w:tblBorders>
          <w:top w:val="single" w:sz="4" w:color="D9E0E5"/>
          <w:left w:val="single" w:sz="4" w:color="D9E0E5"/>
          <w:bottom w:val="single" w:sz="4" w:color="D9E0E5"/>
          <w:right w:val="single" w:sz="4" w:color="D9E0E5"/>
          <w:insideH w:val="single" w:sz="4" w:color="D9E0E5"/>
          <w:insideV w:val="single" w:sz="4" w:color="D9E0E5"/>
        </w:tblBorders>
      </w:tblPr>
      <w:tblGrid>
        <w:gridCol w:w="2700"/>
        <w:gridCol w:w="3990"/>
        <w:gridCol w:w="2670"/>
      </w:tblGrid>
      <w:tr>
        <w:trPr>
          <w:tblHeader/>
          <w:cantSplit/>
        </w:trPr>
        <w:tc>
          <w:tcPr>
            <w:tcW w:type="dxa" w:w="2700"/>
            <w:vAlign w:val="top"/>
            <w:shd w:fill="F2F4F7"/>
          </w:tcPr>
          <w:p>
            <w:pPr>
              <w:pStyle w:val="TableText"/>
              <w:keepNext/>
            </w:pPr>
            <w:r>
              <w:rPr>
                <w:b/>
              </w:rPr>
              <w:t>Vizsgálati irány</w:t>
            </w:r>
          </w:p>
        </w:tc>
        <w:tc>
          <w:tcPr>
            <w:tcW w:type="dxa" w:w="3990"/>
            <w:vAlign w:val="top"/>
            <w:shd w:fill="F2F4F7"/>
          </w:tcPr>
          <w:p>
            <w:pPr>
              <w:pStyle w:val="TableText"/>
              <w:keepNext/>
            </w:pPr>
            <w:r>
              <w:rPr>
                <w:b/>
              </w:rPr>
              <w:t>Jogi kiindulópont</w:t>
            </w:r>
          </w:p>
        </w:tc>
        <w:tc>
          <w:tcPr>
            <w:tcW w:type="dxa" w:w="2670"/>
            <w:vAlign w:val="top"/>
            <w:shd w:fill="F2F4F7"/>
          </w:tcPr>
          <w:p>
            <w:pPr>
              <w:pStyle w:val="TableText"/>
              <w:keepNext/>
            </w:pPr>
            <w:r>
              <w:rPr>
                <w:b/>
              </w:rPr>
              <w:t>Központi bizonyítási kérdés</w:t>
            </w:r>
          </w:p>
        </w:tc>
      </w:tr>
      <w:tr>
        <w:trPr>
          <w:cantSplit/>
        </w:trPr>
        <w:tc>
          <w:tcPr>
            <w:tcW w:type="dxa" w:w="2700"/>
            <w:vAlign w:val="top"/>
          </w:tcPr>
          <w:p>
            <w:pPr>
              <w:pStyle w:val="TableText"/>
            </w:pPr>
            <w:r>
              <w:rPr>
                <w:b w:val="0"/>
              </w:rPr>
              <w:t>Hivatali vesztegetés és elfogadása</w:t>
            </w:r>
          </w:p>
        </w:tc>
        <w:tc>
          <w:tcPr>
            <w:tcW w:type="dxa" w:w="3990"/>
            <w:vAlign w:val="top"/>
          </w:tcPr>
          <w:p>
            <w:pPr>
              <w:pStyle w:val="TableText"/>
            </w:pPr>
            <w:r>
              <w:rPr>
                <w:b w:val="0"/>
              </w:rPr>
              <w:t>Btk. 293–294. §</w:t>
            </w:r>
          </w:p>
        </w:tc>
        <w:tc>
          <w:tcPr>
            <w:tcW w:type="dxa" w:w="2670"/>
            <w:vAlign w:val="top"/>
          </w:tcPr>
          <w:p>
            <w:pPr>
              <w:pStyle w:val="TableText"/>
            </w:pPr>
            <w:r>
              <w:rPr>
                <w:b w:val="0"/>
              </w:rPr>
              <w:t>Jogtalan előny és kapcsolat a hivatalos működéssel</w:t>
            </w:r>
          </w:p>
        </w:tc>
      </w:tr>
      <w:tr>
        <w:trPr>
          <w:cantSplit/>
        </w:trPr>
        <w:tc>
          <w:tcPr>
            <w:tcW w:type="dxa" w:w="2700"/>
            <w:vAlign w:val="top"/>
          </w:tcPr>
          <w:p>
            <w:pPr>
              <w:pStyle w:val="TableText"/>
            </w:pPr>
            <w:r>
              <w:rPr>
                <w:b w:val="0"/>
              </w:rPr>
              <w:t>Gazdasági vesztegetés és elfogadása</w:t>
            </w:r>
          </w:p>
        </w:tc>
        <w:tc>
          <w:tcPr>
            <w:tcW w:type="dxa" w:w="3990"/>
            <w:vAlign w:val="top"/>
          </w:tcPr>
          <w:p>
            <w:pPr>
              <w:pStyle w:val="TableText"/>
            </w:pPr>
            <w:r>
              <w:rPr>
                <w:b w:val="0"/>
              </w:rPr>
              <w:t>Btk. 290–291. §</w:t>
            </w:r>
          </w:p>
        </w:tc>
        <w:tc>
          <w:tcPr>
            <w:tcW w:type="dxa" w:w="2670"/>
            <w:vAlign w:val="top"/>
          </w:tcPr>
          <w:p>
            <w:pPr>
              <w:pStyle w:val="TableText"/>
            </w:pPr>
            <w:r>
              <w:rPr>
                <w:b w:val="0"/>
              </w:rPr>
              <w:t>Előny, gazdasági szerep, kötelesség és tudattartalom</w:t>
            </w:r>
          </w:p>
        </w:tc>
      </w:tr>
      <w:tr>
        <w:trPr>
          <w:cantSplit/>
        </w:trPr>
        <w:tc>
          <w:tcPr>
            <w:tcW w:type="dxa" w:w="2700"/>
            <w:vAlign w:val="top"/>
          </w:tcPr>
          <w:p>
            <w:pPr>
              <w:pStyle w:val="TableText"/>
            </w:pPr>
            <w:r>
              <w:rPr>
                <w:b w:val="0"/>
              </w:rPr>
              <w:t>Befolyás vásárlása, befolyással üzérkedés</w:t>
            </w:r>
          </w:p>
        </w:tc>
        <w:tc>
          <w:tcPr>
            <w:tcW w:type="dxa" w:w="3990"/>
            <w:vAlign w:val="top"/>
          </w:tcPr>
          <w:p>
            <w:pPr>
              <w:pStyle w:val="TableText"/>
            </w:pPr>
            <w:r>
              <w:rPr>
                <w:b w:val="0"/>
              </w:rPr>
              <w:t>Btk. 298–299. §</w:t>
            </w:r>
          </w:p>
        </w:tc>
        <w:tc>
          <w:tcPr>
            <w:tcW w:type="dxa" w:w="2670"/>
            <w:vAlign w:val="top"/>
          </w:tcPr>
          <w:p>
            <w:pPr>
              <w:pStyle w:val="TableText"/>
            </w:pPr>
            <w:r>
              <w:rPr>
                <w:b w:val="0"/>
              </w:rPr>
              <w:t>Előny az állított befolyásért</w:t>
            </w:r>
          </w:p>
        </w:tc>
      </w:tr>
      <w:tr>
        <w:trPr>
          <w:cantSplit/>
        </w:trPr>
        <w:tc>
          <w:tcPr>
            <w:tcW w:type="dxa" w:w="2700"/>
            <w:vAlign w:val="top"/>
          </w:tcPr>
          <w:p>
            <w:pPr>
              <w:pStyle w:val="TableText"/>
            </w:pPr>
            <w:r>
              <w:rPr>
                <w:b w:val="0"/>
              </w:rPr>
              <w:t>Hivatali visszaélés</w:t>
            </w:r>
          </w:p>
        </w:tc>
        <w:tc>
          <w:tcPr>
            <w:tcW w:type="dxa" w:w="3990"/>
            <w:vAlign w:val="top"/>
          </w:tcPr>
          <w:p>
            <w:pPr>
              <w:pStyle w:val="TableText"/>
            </w:pPr>
            <w:r>
              <w:rPr>
                <w:b w:val="0"/>
              </w:rPr>
              <w:t>Btk. 305. §</w:t>
            </w:r>
          </w:p>
        </w:tc>
        <w:tc>
          <w:tcPr>
            <w:tcW w:type="dxa" w:w="2670"/>
            <w:vAlign w:val="top"/>
          </w:tcPr>
          <w:p>
            <w:pPr>
              <w:pStyle w:val="TableText"/>
            </w:pPr>
            <w:r>
              <w:rPr>
                <w:b w:val="0"/>
              </w:rPr>
              <w:t>Hivatali visszaélés és jogtalan előny/hátrány célzata</w:t>
            </w:r>
          </w:p>
        </w:tc>
      </w:tr>
      <w:tr>
        <w:trPr>
          <w:cantSplit/>
        </w:trPr>
        <w:tc>
          <w:tcPr>
            <w:tcW w:type="dxa" w:w="2700"/>
            <w:vAlign w:val="top"/>
          </w:tcPr>
          <w:p>
            <w:pPr>
              <w:pStyle w:val="TableText"/>
            </w:pPr>
            <w:r>
              <w:rPr>
                <w:b w:val="0"/>
              </w:rPr>
              <w:t>Hűtlen kezelés</w:t>
            </w:r>
          </w:p>
        </w:tc>
        <w:tc>
          <w:tcPr>
            <w:tcW w:type="dxa" w:w="3990"/>
            <w:vAlign w:val="top"/>
          </w:tcPr>
          <w:p>
            <w:pPr>
              <w:pStyle w:val="TableText"/>
            </w:pPr>
            <w:r>
              <w:rPr>
                <w:b w:val="0"/>
              </w:rPr>
              <w:t>Btk. 376. §</w:t>
            </w:r>
          </w:p>
        </w:tc>
        <w:tc>
          <w:tcPr>
            <w:tcW w:type="dxa" w:w="2670"/>
            <w:vAlign w:val="top"/>
          </w:tcPr>
          <w:p>
            <w:pPr>
              <w:pStyle w:val="TableText"/>
            </w:pPr>
            <w:r>
              <w:rPr>
                <w:b w:val="0"/>
              </w:rPr>
              <w:t>Vagyonkezelői kötelességszegés, vagyoni hátrány, szándék</w:t>
            </w:r>
          </w:p>
        </w:tc>
      </w:tr>
      <w:tr>
        <w:trPr>
          <w:cantSplit/>
        </w:trPr>
        <w:tc>
          <w:tcPr>
            <w:tcW w:type="dxa" w:w="2700"/>
            <w:vAlign w:val="top"/>
          </w:tcPr>
          <w:p>
            <w:pPr>
              <w:pStyle w:val="TableText"/>
            </w:pPr>
            <w:r>
              <w:rPr>
                <w:b w:val="0"/>
              </w:rPr>
              <w:t>Hanyag kezelés</w:t>
            </w:r>
          </w:p>
        </w:tc>
        <w:tc>
          <w:tcPr>
            <w:tcW w:type="dxa" w:w="3990"/>
            <w:vAlign w:val="top"/>
          </w:tcPr>
          <w:p>
            <w:pPr>
              <w:pStyle w:val="TableText"/>
            </w:pPr>
            <w:r>
              <w:rPr>
                <w:b w:val="0"/>
              </w:rPr>
              <w:t>Btk. 377. §</w:t>
            </w:r>
          </w:p>
        </w:tc>
        <w:tc>
          <w:tcPr>
            <w:tcW w:type="dxa" w:w="2670"/>
            <w:vAlign w:val="top"/>
          </w:tcPr>
          <w:p>
            <w:pPr>
              <w:pStyle w:val="TableText"/>
            </w:pPr>
            <w:r>
              <w:rPr>
                <w:b w:val="0"/>
              </w:rPr>
              <w:t>Törvényen alapuló kezelés/felügyelet, gondatlan hátrányokozás</w:t>
            </w:r>
          </w:p>
        </w:tc>
      </w:tr>
      <w:tr>
        <w:trPr>
          <w:cantSplit/>
        </w:trPr>
        <w:tc>
          <w:tcPr>
            <w:tcW w:type="dxa" w:w="2700"/>
            <w:vAlign w:val="top"/>
          </w:tcPr>
          <w:p>
            <w:pPr>
              <w:pStyle w:val="TableText"/>
            </w:pPr>
            <w:r>
              <w:rPr>
                <w:b w:val="0"/>
              </w:rPr>
              <w:t>Költségvetési csalás</w:t>
            </w:r>
          </w:p>
        </w:tc>
        <w:tc>
          <w:tcPr>
            <w:tcW w:type="dxa" w:w="3990"/>
            <w:vAlign w:val="top"/>
          </w:tcPr>
          <w:p>
            <w:pPr>
              <w:pStyle w:val="TableText"/>
            </w:pPr>
            <w:r>
              <w:rPr>
                <w:b w:val="0"/>
              </w:rPr>
              <w:t>Btk. 396. §</w:t>
            </w:r>
          </w:p>
        </w:tc>
        <w:tc>
          <w:tcPr>
            <w:tcW w:type="dxa" w:w="2670"/>
            <w:vAlign w:val="top"/>
          </w:tcPr>
          <w:p>
            <w:pPr>
              <w:pStyle w:val="TableText"/>
            </w:pPr>
            <w:r>
              <w:rPr>
                <w:b w:val="0"/>
              </w:rPr>
              <w:t>Költségvetési kapcsolat, megtévesztés vagy céleltérés, hátrány</w:t>
            </w:r>
          </w:p>
        </w:tc>
      </w:tr>
      <w:tr>
        <w:trPr>
          <w:cantSplit/>
        </w:trPr>
        <w:tc>
          <w:tcPr>
            <w:tcW w:type="dxa" w:w="2700"/>
            <w:vAlign w:val="top"/>
          </w:tcPr>
          <w:p>
            <w:pPr>
              <w:pStyle w:val="TableText"/>
            </w:pPr>
            <w:r>
              <w:rPr>
                <w:b w:val="0"/>
              </w:rPr>
              <w:t>Közbeszerzési/koncessziós kartell</w:t>
            </w:r>
          </w:p>
        </w:tc>
        <w:tc>
          <w:tcPr>
            <w:tcW w:type="dxa" w:w="3990"/>
            <w:vAlign w:val="top"/>
          </w:tcPr>
          <w:p>
            <w:pPr>
              <w:pStyle w:val="TableText"/>
            </w:pPr>
            <w:r>
              <w:rPr>
                <w:b w:val="0"/>
              </w:rPr>
              <w:t>Btk. 420. §</w:t>
            </w:r>
          </w:p>
        </w:tc>
        <w:tc>
          <w:tcPr>
            <w:tcW w:type="dxa" w:w="2670"/>
            <w:vAlign w:val="top"/>
          </w:tcPr>
          <w:p>
            <w:pPr>
              <w:pStyle w:val="TableText"/>
            </w:pPr>
            <w:r>
              <w:rPr>
                <w:b w:val="0"/>
              </w:rPr>
              <w:t>Megállapodás, befolyásolási cél, versenykorlátozás</w:t>
            </w:r>
          </w:p>
        </w:tc>
      </w:tr>
      <w:tr>
        <w:trPr>
          <w:cantSplit/>
        </w:trPr>
        <w:tc>
          <w:tcPr>
            <w:tcW w:type="dxa" w:w="2700"/>
            <w:vAlign w:val="top"/>
          </w:tcPr>
          <w:p>
            <w:pPr>
              <w:pStyle w:val="TableText"/>
            </w:pPr>
            <w:r>
              <w:rPr>
                <w:b w:val="0"/>
              </w:rPr>
              <w:t>Versenyjogi kartell</w:t>
            </w:r>
          </w:p>
        </w:tc>
        <w:tc>
          <w:tcPr>
            <w:tcW w:type="dxa" w:w="3990"/>
            <w:vAlign w:val="top"/>
          </w:tcPr>
          <w:p>
            <w:pPr>
              <w:pStyle w:val="TableText"/>
            </w:pPr>
            <w:r>
              <w:rPr>
                <w:b w:val="0"/>
              </w:rPr>
              <w:t>Tpvt. 11. §; EUMSZ 101. cikk</w:t>
            </w:r>
          </w:p>
        </w:tc>
        <w:tc>
          <w:tcPr>
            <w:tcW w:type="dxa" w:w="2670"/>
            <w:vAlign w:val="top"/>
          </w:tcPr>
          <w:p>
            <w:pPr>
              <w:pStyle w:val="TableText"/>
            </w:pPr>
            <w:r>
              <w:rPr>
                <w:b w:val="0"/>
              </w:rPr>
              <w:t>Vállalkozások közötti versenykorlátozó együttműködés</w:t>
            </w:r>
          </w:p>
        </w:tc>
      </w:tr>
      <w:tr>
        <w:trPr>
          <w:cantSplit/>
        </w:trPr>
        <w:tc>
          <w:tcPr>
            <w:tcW w:type="dxa" w:w="2700"/>
            <w:vAlign w:val="top"/>
          </w:tcPr>
          <w:p>
            <w:pPr>
              <w:pStyle w:val="TableText"/>
            </w:pPr>
            <w:r>
              <w:rPr>
                <w:b w:val="0"/>
              </w:rPr>
              <w:t>Erőfölényes visszaélés</w:t>
            </w:r>
          </w:p>
        </w:tc>
        <w:tc>
          <w:tcPr>
            <w:tcW w:type="dxa" w:w="3990"/>
            <w:vAlign w:val="top"/>
          </w:tcPr>
          <w:p>
            <w:pPr>
              <w:pStyle w:val="TableText"/>
            </w:pPr>
            <w:r>
              <w:rPr>
                <w:b w:val="0"/>
              </w:rPr>
              <w:t>Tpvt. 21–22. §; EUMSZ 102. cikk</w:t>
            </w:r>
          </w:p>
        </w:tc>
        <w:tc>
          <w:tcPr>
            <w:tcW w:type="dxa" w:w="2670"/>
            <w:vAlign w:val="top"/>
          </w:tcPr>
          <w:p>
            <w:pPr>
              <w:pStyle w:val="TableText"/>
            </w:pPr>
            <w:r>
              <w:rPr>
                <w:b w:val="0"/>
              </w:rPr>
              <w:t>Érintett piac, erőfölény és visszaélés</w:t>
            </w:r>
          </w:p>
        </w:tc>
      </w:tr>
      <w:tr>
        <w:trPr>
          <w:cantSplit/>
        </w:trPr>
        <w:tc>
          <w:tcPr>
            <w:tcW w:type="dxa" w:w="2700"/>
            <w:vAlign w:val="top"/>
          </w:tcPr>
          <w:p>
            <w:pPr>
              <w:pStyle w:val="TableText"/>
            </w:pPr>
            <w:r>
              <w:rPr>
                <w:b w:val="0"/>
              </w:rPr>
              <w:t>Pénzmosás</w:t>
            </w:r>
          </w:p>
        </w:tc>
        <w:tc>
          <w:tcPr>
            <w:tcW w:type="dxa" w:w="3990"/>
            <w:vAlign w:val="top"/>
          </w:tcPr>
          <w:p>
            <w:pPr>
              <w:pStyle w:val="TableText"/>
            </w:pPr>
            <w:r>
              <w:rPr>
                <w:b w:val="0"/>
              </w:rPr>
              <w:t>Btk. 399–400. §</w:t>
            </w:r>
          </w:p>
        </w:tc>
        <w:tc>
          <w:tcPr>
            <w:tcW w:type="dxa" w:w="2670"/>
            <w:vAlign w:val="top"/>
          </w:tcPr>
          <w:p>
            <w:pPr>
              <w:pStyle w:val="TableText"/>
            </w:pPr>
            <w:r>
              <w:rPr>
                <w:b w:val="0"/>
              </w:rPr>
              <w:t>Büntetendő eredet, pénzkezelési magatartás, tudattartalom</w:t>
            </w:r>
          </w:p>
        </w:tc>
      </w:tr>
      <w:tr>
        <w:trPr>
          <w:cantSplit/>
        </w:trPr>
        <w:tc>
          <w:tcPr>
            <w:tcW w:type="dxa" w:w="2700"/>
            <w:vAlign w:val="top"/>
          </w:tcPr>
          <w:p>
            <w:pPr>
              <w:pStyle w:val="TableText"/>
            </w:pPr>
            <w:r>
              <w:rPr>
                <w:b w:val="0"/>
              </w:rPr>
              <w:t>Kapcsolódó okirati/vagyoni magatartás</w:t>
            </w:r>
          </w:p>
        </w:tc>
        <w:tc>
          <w:tcPr>
            <w:tcW w:type="dxa" w:w="3990"/>
            <w:vAlign w:val="top"/>
          </w:tcPr>
          <w:p>
            <w:pPr>
              <w:pStyle w:val="TableText"/>
            </w:pPr>
            <w:r>
              <w:rPr>
                <w:b w:val="0"/>
              </w:rPr>
              <w:t>Btk. 342., 345., 372., 373., 403. §</w:t>
            </w:r>
          </w:p>
        </w:tc>
        <w:tc>
          <w:tcPr>
            <w:tcW w:type="dxa" w:w="2670"/>
            <w:vAlign w:val="top"/>
          </w:tcPr>
          <w:p>
            <w:pPr>
              <w:pStyle w:val="TableText"/>
            </w:pPr>
            <w:r>
              <w:rPr>
                <w:b w:val="0"/>
              </w:rPr>
              <w:t>Konkrét hamisítás, eltulajdonítás, megtévesztés vagy számviteli sérelem</w:t>
            </w:r>
          </w:p>
        </w:tc>
      </w:tr>
    </w:tbl>
    <w:p>
      <w:pPr>
        <w:spacing w:after="80"/>
      </w:pPr>
    </w:p>
    <w:p>
      <w:pPr/>
      <w:r>
        <w:rPr>
          <w:b w:val="0"/>
        </w:rPr>
        <w:t xml:space="preserve">Jogforrások: </w:t>
      </w:r>
      <w:hyperlink w:anchor="F07">
        <w:r>
          <w:rPr>
            <w:color w:val="21618C"/>
          </w:rPr>
          <w:t>[F07, F08]</w:t>
        </w:r>
      </w:hyperlink>
      <w:r>
        <w:rPr>
          <w:b w:val="0"/>
        </w:rPr>
        <w:t>. A táblázat tájékozódási térkép; a bekezdések, minősítő körülmények, értékhatárok, időbeli jogállapot és halmazati kérdések külön ellenőrzést igényelnek. A „kormányoldali korrupció” és a „verseny ellehetetlenítése” nem önálló Btk.-tényállásnév.</w:t>
      </w:r>
    </w:p>
    <w:p>
      <w:pPr>
        <w:pStyle w:val="Heading2"/>
      </w:pPr>
      <w:r>
        <w:rPr>
          <w:b w:val="0"/>
        </w:rPr>
        <w:t>2.3. Hivatali vesztegetés: a döntés és az előny összekapcsolása</w:t>
      </w:r>
      <w:bookmarkStart w:id="29" w:name="chapter2-h10"/>
      <w:bookmarkEnd w:id="29"/>
    </w:p>
    <w:p>
      <w:pPr/>
      <w:r>
        <w:rPr>
          <w:b/>
        </w:rPr>
        <w:t>Jogi fókusz:</w:t>
      </w:r>
      <w:r>
        <w:rPr>
          <w:b w:val="0"/>
        </w:rPr>
        <w:t xml:space="preserve"> az aktív és passzív oldal eltérő magatartásokat fog át. A hivatali működéssel összefüggő előny adása, ígérete, kérése vagy elfogadása is releváns lehet; nem minden esetben szükséges a pénz tényleges átadása vagy az ügyfélnek kedvező döntés megvalósulása. A kötelességszegésre irányultság, illetve annak megvalósítása további minősítési kérdés. </w:t>
      </w:r>
      <w:hyperlink w:anchor="F08">
        <w:r>
          <w:rPr>
            <w:color w:val="21618C"/>
          </w:rPr>
          <w:t>[F08]</w:t>
        </w:r>
      </w:hyperlink>
    </w:p>
    <w:p>
      <w:pPr/>
      <w:r>
        <w:rPr>
          <w:b/>
        </w:rPr>
        <w:t>Saját tervezésű ténykérdések:</w:t>
      </w:r>
    </w:p>
    <w:p>
      <w:pPr>
        <w:pStyle w:val="ListBullet"/>
        <w:numPr>
          <w:ilvl w:val="0"/>
          <w:numId w:val="12"/>
        </w:numPr>
      </w:pPr>
      <w:r>
        <w:rPr>
          <w:b w:val="0"/>
        </w:rPr>
        <w:t>Mi a konkrét hatósági, támogatási, beszerzési vagy más hivatalos ügy?</w:t>
      </w:r>
    </w:p>
    <w:p>
      <w:pPr>
        <w:pStyle w:val="ListBullet"/>
        <w:numPr>
          <w:ilvl w:val="0"/>
          <w:numId w:val="12"/>
        </w:numPr>
      </w:pPr>
      <w:r>
        <w:rPr>
          <w:b w:val="0"/>
        </w:rPr>
        <w:t>Mi igazolja az érintett hivatalos személyi minőségét az adott időben?</w:t>
      </w:r>
    </w:p>
    <w:p>
      <w:pPr>
        <w:pStyle w:val="ListBullet"/>
        <w:numPr>
          <w:ilvl w:val="0"/>
          <w:numId w:val="12"/>
        </w:numPr>
      </w:pPr>
      <w:r>
        <w:rPr>
          <w:b w:val="0"/>
        </w:rPr>
        <w:t>Mi volt az előny: pénz, állás, kedvezmény, tartozás elengedése, rokon cégének üzlet, utazás, más vagyoni vagy nem vagyoni előny?</w:t>
      </w:r>
    </w:p>
    <w:p>
      <w:pPr>
        <w:pStyle w:val="ListBullet"/>
        <w:numPr>
          <w:ilvl w:val="0"/>
          <w:numId w:val="12"/>
        </w:numPr>
      </w:pPr>
      <w:r>
        <w:rPr>
          <w:b w:val="0"/>
        </w:rPr>
        <w:t>Kinek ígérték vagy adták, és mi kapcsolja a hivatalos személyhez?</w:t>
      </w:r>
    </w:p>
    <w:p>
      <w:pPr>
        <w:pStyle w:val="ListBullet"/>
        <w:numPr>
          <w:ilvl w:val="0"/>
          <w:numId w:val="12"/>
        </w:numPr>
      </w:pPr>
      <w:r>
        <w:rPr>
          <w:b w:val="0"/>
        </w:rPr>
        <w:t>Mi mutatja, hogy az előny a hivatalos működéshez kapcsolódott, nem önálló, valós ügylethez?</w:t>
      </w:r>
    </w:p>
    <w:p>
      <w:pPr>
        <w:pStyle w:val="ListBullet"/>
        <w:numPr>
          <w:ilvl w:val="0"/>
          <w:numId w:val="12"/>
        </w:numPr>
      </w:pPr>
      <w:r>
        <w:rPr>
          <w:b w:val="0"/>
        </w:rPr>
        <w:t>Ki kezdeményezett, milyen közvetítőn át, és mit tudtak az egyes résztvevők?</w:t>
      </w:r>
    </w:p>
    <w:p>
      <w:pPr/>
      <w:r>
        <w:rPr>
          <w:b/>
        </w:rPr>
        <w:t>Keresendő forráscsoportok:</w:t>
      </w:r>
      <w:r>
        <w:rPr>
          <w:b w:val="0"/>
        </w:rPr>
        <w:t xml:space="preserve"> döntés-előkészítő iratok; hatásköri és delegálási dokumentumok; teljes kommunikációs szálak; szerződések és mellékszolgáltatások; banki adatok; utazás- és naptárbejegyzések; a tényleges szolgáltatást ismerő tanúk.</w:t>
      </w:r>
    </w:p>
    <w:p>
      <w:pPr/>
      <w:r>
        <w:rPr>
          <w:b/>
        </w:rPr>
        <w:t>AI-jelzés lehet:</w:t>
      </w:r>
      <w:r>
        <w:rPr>
          <w:b w:val="0"/>
        </w:rPr>
        <w:t xml:space="preserve"> döntéshez időben közeli, szokatlan kifizetés; ugyanannak a közvetítőnek megjelenése a hivatalos és magánügyletben; előre ismert döntési részlet. </w:t>
      </w:r>
      <w:r>
        <w:rPr>
          <w:b/>
        </w:rPr>
        <w:t>Ezután emberi ellenőrzés kell:</w:t>
      </w:r>
      <w:r>
        <w:rPr>
          <w:b w:val="0"/>
        </w:rPr>
        <w:t xml:space="preserve"> szerzőség, időbélyeg, szövegkörnyezet, pénzügyi teljesítés és az ellenszolgáltatás valósága.</w:t>
      </w:r>
    </w:p>
    <w:p>
      <w:pPr/>
      <w:r>
        <w:rPr>
          <w:b/>
        </w:rPr>
        <w:t>Mentő alternatíva:</w:t>
      </w:r>
      <w:r>
        <w:rPr>
          <w:b w:val="0"/>
        </w:rPr>
        <w:t xml:space="preserve"> ténylegesen elvégzett tanácsadás, korábbi dokumentált kölcsön visszafizetése, nyilvános és szabályosan engedélyezett juttatás. A „tanácsadás” megnevezés nem bizonyítja sem a jogszerűséget, sem a fiktív jelleget.</w:t>
      </w:r>
    </w:p>
    <w:p>
      <w:pPr>
        <w:pStyle w:val="Heading2"/>
      </w:pPr>
      <w:r>
        <w:rPr>
          <w:b w:val="0"/>
        </w:rPr>
        <w:t>2.4. Gazdasági vesztegetés: nem minden állami cégvezető hivatalos személy</w:t>
      </w:r>
      <w:bookmarkStart w:id="30" w:name="chapter2-h17"/>
      <w:bookmarkEnd w:id="30"/>
    </w:p>
    <w:p>
      <w:pPr/>
      <w:r>
        <w:rPr>
          <w:b w:val="0"/>
        </w:rPr>
        <w:t xml:space="preserve">Az állami tulajdonú társaság vezetője vagy beszerzője státuszát külön kell értékelni. A köztulajdon ténye önmagában nem tesz minden munkavállalót hivatalos személlyé. A Btk. 290. § aktív oldala a kötelességszegésre irányuló előnyt vizsgálja; a 291. § szerinti elfogadásnál a tevékenységgel való kapcsolat és az egyes fordulatok feltételei számítanak. </w:t>
      </w:r>
      <w:hyperlink w:anchor="F08">
        <w:r>
          <w:rPr>
            <w:color w:val="21618C"/>
          </w:rPr>
          <w:t>[F08]</w:t>
        </w:r>
      </w:hyperlink>
    </w:p>
    <w:p>
      <w:pPr/>
      <w:r>
        <w:rPr>
          <w:b/>
        </w:rPr>
        <w:t>Bizonyítási munkacsomag:</w:t>
      </w:r>
      <w:r>
        <w:rPr>
          <w:b w:val="0"/>
        </w:rPr>
        <w:t xml:space="preserve"> munkaköri leírás, beszerzési szabályzat, jóváhagyási lánc, összeférhetetlenségi nyilatkozat, előny útja és kapcsolódó döntés. A munkatárs tényleges döntési mozgásterét kell rekonstruálni, nem kizárólag a munkakör elnevezését.</w:t>
      </w:r>
    </w:p>
    <w:p>
      <w:pPr/>
      <w:r>
        <w:rPr>
          <w:b/>
        </w:rPr>
        <w:t>AI-feladat:</w:t>
      </w:r>
      <w:r>
        <w:rPr>
          <w:b w:val="0"/>
        </w:rPr>
        <w:t xml:space="preserve"> annak összevetése, hogy ki milyen szerepben szerepel a szabályzatban, a levélváltásban és az aláírási folyamatban. Feltárható például, hogy a formális döntést megelőzően ki adott a többieknek utasítást. A rendszer jelölje azt is, ha egy utasítás jogszerű szervezeti koordinációnak tűnik.</w:t>
      </w:r>
    </w:p>
    <w:p>
      <w:pPr/>
      <w:r>
        <w:rPr>
          <w:b/>
        </w:rPr>
        <w:t>Gyakori tévedés:</w:t>
      </w:r>
      <w:r>
        <w:rPr>
          <w:b w:val="0"/>
        </w:rPr>
        <w:t xml:space="preserve"> minden kedvező szerződést korrupcióként kezelni. A releváns kérdés az előny és a kötelesség vagy tevékenység összefüggése, valamint az érintettek tudata.</w:t>
      </w:r>
    </w:p>
    <w:p>
      <w:pPr>
        <w:pStyle w:val="Heading2"/>
      </w:pPr>
      <w:r>
        <w:rPr>
          <w:b w:val="0"/>
        </w:rPr>
        <w:t>2.5. Befolyás vásárlása és befolyással üzérkedés</w:t>
      </w:r>
      <w:bookmarkStart w:id="31" w:name="chapter2-h22"/>
      <w:bookmarkEnd w:id="31"/>
    </w:p>
    <w:p>
      <w:pPr/>
      <w:r>
        <w:rPr>
          <w:b w:val="0"/>
        </w:rPr>
        <w:t xml:space="preserve">Egy közvetítő azt állíthatja, hogy el tud intézni egy támogatást vagy döntést. A fizetés jogcíme lehet sikerdíj, tanácsadási díj vagy más szerződés. A vizsgálat központi kérdése: milyen befolyásra hivatkozott, mire kértek előnyt, és mit fogadott el a másik fél? Nem feltétlenül a hivatalos személyhez történő továbbutalás az egyetlen releváns bizonyítási út. </w:t>
      </w:r>
      <w:hyperlink w:anchor="F08">
        <w:r>
          <w:rPr>
            <w:color w:val="21618C"/>
          </w:rPr>
          <w:t>[F08]</w:t>
        </w:r>
      </w:hyperlink>
    </w:p>
    <w:p>
      <w:pPr/>
      <w:r>
        <w:rPr>
          <w:b/>
        </w:rPr>
        <w:t>Munkakérdések:</w:t>
      </w:r>
      <w:r>
        <w:rPr>
          <w:b w:val="0"/>
        </w:rPr>
        <w:t xml:space="preserve"> a közvetítő szavai és vállalásai; az ügyfél ezekről való tudomása; a díj teljesítéshez vagy döntéshez kötése; tényleges szakmai teljesítmény; az elérni kívánt személy vagy szervezet azonosítása; a hivatalos személy tényleges részvétele vagy annak hiánya.</w:t>
      </w:r>
    </w:p>
    <w:p>
      <w:pPr/>
      <w:r>
        <w:rPr>
          <w:b/>
        </w:rPr>
        <w:t>AI-feladat:</w:t>
      </w:r>
      <w:r>
        <w:rPr>
          <w:b w:val="0"/>
        </w:rPr>
        <w:t xml:space="preserve"> vállalások, díjfeltételek és döntési dátumok kigyűjtése, szó szerinti forráshelyekkel. Külön címke szükséges az „állította, hogy befolyása van” és a „bizonyítottan befolyásolta” között. Az egyikből nem következik automatikusan a másik.</w:t>
      </w:r>
    </w:p>
    <w:p>
      <w:pPr>
        <w:pStyle w:val="Heading2"/>
      </w:pPr>
      <w:r>
        <w:rPr>
          <w:b w:val="0"/>
        </w:rPr>
        <w:t>2.6. Hivatali visszaélés: a szabálytalanság mellett a célzat is számít</w:t>
      </w:r>
      <w:bookmarkStart w:id="32" w:name="chapter2-h26"/>
      <w:bookmarkEnd w:id="32"/>
    </w:p>
    <w:p>
      <w:pPr/>
      <w:r>
        <w:rPr>
          <w:b w:val="0"/>
        </w:rPr>
        <w:t xml:space="preserve">Itt nem szükségképpen vesztegetési pénzt kell keresni. A hivatalos szereppel való visszaélés és a jogtalan előny megszerzésére vagy hátrány okozására irányuló célzat a kulcs. A Kúria kiemeli, hogy a célzat a tudattartalom része, nem azonos a ténylegesen bekövetkező eredménnyel. </w:t>
      </w:r>
      <w:hyperlink w:anchor="F18">
        <w:r>
          <w:rPr>
            <w:color w:val="21618C"/>
          </w:rPr>
          <w:t>[F18]</w:t>
        </w:r>
      </w:hyperlink>
    </w:p>
    <w:p>
      <w:pPr/>
      <w:r>
        <w:rPr>
          <w:b/>
        </w:rPr>
        <w:t>Munkakérdések:</w:t>
      </w:r>
      <w:r>
        <w:rPr>
          <w:b w:val="0"/>
        </w:rPr>
        <w:t xml:space="preserve"> mi volt az adott személy jogköre; mely kötelességét, hatáskörét vagy hivatali helyzetét érintette a cselekmény; kinek milyen jogtalan előnyt vagy hátrányt kívánt; mi utal erre a döntés előtti vagy alatti magatartásban?</w:t>
      </w:r>
    </w:p>
    <w:p>
      <w:pPr/>
      <w:r>
        <w:rPr>
          <w:b/>
        </w:rPr>
        <w:t>Lehetséges forrás:</w:t>
      </w:r>
      <w:r>
        <w:rPr>
          <w:b w:val="0"/>
        </w:rPr>
        <w:t xml:space="preserve"> elutasított belső szakmai vélemény, megváltoztatott értékelési szempont, indokolatlan eltérés az összehasonlítható ügyektől, konkrét utasítás. </w:t>
      </w:r>
      <w:r>
        <w:rPr>
          <w:b/>
        </w:rPr>
        <w:t>Alternatíva:</w:t>
      </w:r>
      <w:r>
        <w:rPr>
          <w:b w:val="0"/>
        </w:rPr>
        <w:t xml:space="preserve"> dokumentált közérdekű vagy szakmai indok, eltérő tényállás, jóhiszemű jogértelmezési tévedés. Egy bíróság által később megsemmisített közigazgatási döntésből önmagában nem lesz hivatali visszaélés.</w:t>
      </w:r>
    </w:p>
    <w:p>
      <w:pPr>
        <w:pStyle w:val="Heading2"/>
      </w:pPr>
      <w:r>
        <w:rPr>
          <w:b w:val="0"/>
        </w:rPr>
        <w:t>2.7. Hűtlen kezelés és hanyag kezelés: az árkülönbség nem kész bizonyítás</w:t>
      </w:r>
      <w:bookmarkStart w:id="33" w:name="chapter2-h30"/>
      <w:bookmarkEnd w:id="33"/>
    </w:p>
    <w:p>
      <w:pPr/>
      <w:r>
        <w:rPr>
          <w:b w:val="0"/>
        </w:rPr>
        <w:t xml:space="preserve">A hűtlen kezelés vizsgálatának gerince az idegen vagyon kezelésére irányuló kötelezettség, annak megszegése, az okozott vagyoni hátrány és az ezt átfogó szándékosság. A Kúria gyakorlata szerint a kockázatos gazdálkodási döntés és a büntetőjogi felelősség nem azonos; a vagyoni hátrányhoz való tudati viszony meghatározó. A hanyag kezelés pedig nem korlátlanul alkalmazható „enyhébb változat”: a vagyon kezelésére vagy felügyeletére vonatkozó megbízásnak közvetlenül törvényen kell alapulnia, és az elkövetői kör is eltér. </w:t>
      </w:r>
      <w:hyperlink w:anchor="F19">
        <w:r>
          <w:rPr>
            <w:color w:val="21618C"/>
          </w:rPr>
          <w:t>[F19, F20]</w:t>
        </w:r>
      </w:hyperlink>
    </w:p>
    <w:p>
      <w:pPr/>
      <w:r>
        <w:rPr>
          <w:b/>
        </w:rPr>
        <w:t>Hat vizsgálandó blokk:</w:t>
      </w:r>
    </w:p>
    <w:p>
      <w:pPr>
        <w:pStyle w:val="ListNumber"/>
        <w:numPr>
          <w:ilvl w:val="0"/>
          <w:numId w:val="13"/>
        </w:numPr>
      </w:pPr>
      <w:r>
        <w:rPr>
          <w:b w:val="0"/>
        </w:rPr>
        <w:t>Kinek a vagyonáról van szó, és ki jogosult a kezelésére?</w:t>
      </w:r>
    </w:p>
    <w:p>
      <w:pPr>
        <w:pStyle w:val="ListNumber"/>
        <w:numPr>
          <w:ilvl w:val="0"/>
          <w:numId w:val="13"/>
        </w:numPr>
      </w:pPr>
      <w:r>
        <w:rPr>
          <w:b w:val="0"/>
        </w:rPr>
        <w:t>Mely jogszabály, szerződés, szabályzat vagy megbízás alapozza meg a kötelezettséget?</w:t>
      </w:r>
    </w:p>
    <w:p>
      <w:pPr>
        <w:pStyle w:val="ListNumber"/>
        <w:numPr>
          <w:ilvl w:val="0"/>
          <w:numId w:val="13"/>
        </w:numPr>
      </w:pPr>
      <w:r>
        <w:rPr>
          <w:b w:val="0"/>
        </w:rPr>
        <w:t>Mely konkrét cselekmény vagy mulasztás sértette azt?</w:t>
      </w:r>
    </w:p>
    <w:p>
      <w:pPr>
        <w:pStyle w:val="ListNumber"/>
        <w:numPr>
          <w:ilvl w:val="0"/>
          <w:numId w:val="13"/>
        </w:numPr>
      </w:pPr>
      <w:r>
        <w:rPr>
          <w:b w:val="0"/>
        </w:rPr>
        <w:t>Milyen összegű és mikor bekövetkezett vagyoni hátrány azonosítható?</w:t>
      </w:r>
    </w:p>
    <w:p>
      <w:pPr>
        <w:pStyle w:val="ListNumber"/>
        <w:numPr>
          <w:ilvl w:val="0"/>
          <w:numId w:val="13"/>
        </w:numPr>
      </w:pPr>
      <w:r>
        <w:rPr>
          <w:b w:val="0"/>
        </w:rPr>
        <w:t>Mi kapcsolja okozatilag a kötelességszegést a hátrányhoz?</w:t>
      </w:r>
    </w:p>
    <w:p>
      <w:pPr>
        <w:pStyle w:val="ListNumber"/>
        <w:numPr>
          <w:ilvl w:val="0"/>
          <w:numId w:val="13"/>
        </w:numPr>
      </w:pPr>
      <w:r>
        <w:rPr>
          <w:b w:val="0"/>
        </w:rPr>
        <w:t>Mit tudott a döntéshozó a hátrány lehetőségéről, és hogyan viszonyult hozzá?</w:t>
      </w:r>
    </w:p>
    <w:p>
      <w:pPr/>
      <w:r>
        <w:rPr>
          <w:b/>
        </w:rPr>
        <w:t>Példa:</w:t>
      </w:r>
      <w:r>
        <w:rPr>
          <w:b w:val="0"/>
        </w:rPr>
        <w:t xml:space="preserve"> egy önkormányzati cég 1,2 milliárd forintért vásárol eszközt, amelyről egy utólagos adatbázis 750 milliós árszintet mutat. A 450 milliós különbség vizsgálati jelzés. Nem kész kárösszeg. Egyeztetni kell a műszaki tartalmat, mennyiséget, szállítás idejét, garanciát, finanszírozást, devizát, adót, szállítási kockázatot és piaci környezetet. Az utólag olcsóbb technológia nem bizonyít korábbi túlárazást.</w:t>
      </w:r>
    </w:p>
    <w:p>
      <w:pPr/>
      <w:r>
        <w:rPr>
          <w:b/>
        </w:rPr>
        <w:t>AI és hagyományos elemzés:</w:t>
      </w:r>
      <w:r>
        <w:rPr>
          <w:b w:val="0"/>
        </w:rPr>
        <w:t xml:space="preserve"> szerződésverziók összehasonlítása; hiányzó biztosítékok és teljesítésigazolások jelzése; ártételek strukturálása. A tényleges összehasonlítás és számítás ellenőrizhető táblázatban vagy programban történjen. Az LLM ne találjon ki „piaci árat”, és ne számolja önállóan a büntetőjogi hátrányt.</w:t>
      </w:r>
    </w:p>
    <w:p>
      <w:pPr/>
      <w:r>
        <w:rPr>
          <w:b/>
        </w:rPr>
        <w:t>Mentő adatok célzott keresése:</w:t>
      </w:r>
      <w:r>
        <w:rPr>
          <w:b w:val="0"/>
        </w:rPr>
        <w:t xml:space="preserve"> korabeli független árajánlatok; valóban biztosított extra szolgáltatás; szakértői előzetes vélemény; sürgősség okirata; döntéshozói ellenvélemény. Ugyanakkor egy aláírt szakvélemény sem ad automatikus felmentést, ha annak megalapozatlansága ismert volt.</w:t>
      </w:r>
    </w:p>
    <w:p>
      <w:pPr>
        <w:pStyle w:val="Heading2"/>
      </w:pPr>
      <w:r>
        <w:rPr>
          <w:b w:val="0"/>
        </w:rPr>
        <w:t>2.8. Költségvetési csalás: az elszámolás mögötti gazdasági esemény</w:t>
      </w:r>
      <w:bookmarkStart w:id="34" w:name="chapter2-h37"/>
      <w:bookmarkEnd w:id="34"/>
    </w:p>
    <w:p>
      <w:pPr/>
      <w:r>
        <w:rPr>
          <w:b w:val="0"/>
        </w:rPr>
        <w:t xml:space="preserve">A támogatási ügyben azonosítani kell a költségvetési forrást, a jogosultsági és felhasználási feltételeket, a valótlan adatot vagy céltól eltérő felhasználást, a vagyoni hátrányt és a személyes közreműködést. A Kúria céltól eltérő felhasználásról szóló döntése a forrásnak normában vagy aktusban meghatározott rendeltetésére helyezi a hangsúlyt. </w:t>
      </w:r>
      <w:hyperlink w:anchor="F21">
        <w:r>
          <w:rPr>
            <w:color w:val="21618C"/>
          </w:rPr>
          <w:t>[F21]</w:t>
        </w:r>
      </w:hyperlink>
    </w:p>
    <w:p>
      <w:pPr/>
      <w:r>
        <w:rPr>
          <w:b/>
        </w:rPr>
        <w:t>Javasolt iratlánc:</w:t>
      </w:r>
      <w:r>
        <w:rPr>
          <w:b w:val="0"/>
        </w:rPr>
        <w:t xml:space="preserve"> pályázat → támogatási döntés és feltételek → vállalkozói szerződés → megrendelés → teljesítési bizonyíték → számla → kifizetés → elszámolás → ellenőrzés. Minden nyílnál rögzíteni kell a mennyiséget, időt, kedvezményezettet és ellenőrző személyt.</w:t>
      </w:r>
    </w:p>
    <w:p>
      <w:pPr/>
      <w:r>
        <w:rPr>
          <w:b/>
        </w:rPr>
        <w:t>Gyanújelek:</w:t>
      </w:r>
      <w:r>
        <w:rPr>
          <w:b w:val="0"/>
        </w:rPr>
        <w:t xml:space="preserve"> ugyanaz a költség több projektben; egymásnak ellentmondó dátumok; kapacitás nélküli alvállalkozó; azonos fénykép több helyszínként; a banki utalás után gyors visszaforgatás; valójában le nem szállított termék. A hiányzó irat önmagában nem bizonyítja a teljesítés hiányát, de indokolhat további beszerzést.</w:t>
      </w:r>
    </w:p>
    <w:p>
      <w:pPr/>
      <w:r>
        <w:rPr>
          <w:b/>
        </w:rPr>
        <w:t>AI-feladat:</w:t>
      </w:r>
      <w:r>
        <w:rPr>
          <w:b w:val="0"/>
        </w:rPr>
        <w:t xml:space="preserve"> a dokumentumlánc mezőinek egyeztetése és az ellentmondó állítások összekapcsolása. </w:t>
      </w:r>
      <w:r>
        <w:rPr>
          <w:b/>
        </w:rPr>
        <w:t>Emberi/szakértői feladat:</w:t>
      </w:r>
      <w:r>
        <w:rPr>
          <w:b w:val="0"/>
        </w:rPr>
        <w:t xml:space="preserve"> a teljesítés valóságának, a támogatási feltétel jelentőségének és a büntetőjogi hátránynak a megállapítása. A támogatási korrekció, visszafizetési kötelezettség és büntetőjogi kár nem szükségképpen azonos összeg; az adóhatósági megállapítás sem automatikus bűnösségi bizonyíték. </w:t>
      </w:r>
      <w:hyperlink w:anchor="F22">
        <w:r>
          <w:rPr>
            <w:color w:val="21618C"/>
          </w:rPr>
          <w:t>[F22]</w:t>
        </w:r>
      </w:hyperlink>
    </w:p>
    <w:p>
      <w:pPr>
        <w:pStyle w:val="Heading2"/>
      </w:pPr>
      <w:r>
        <w:rPr>
          <w:b w:val="0"/>
        </w:rPr>
        <w:t>2.9. Közbeszerzési kartell: az ajánlatok közötti egyezés mögé kell nézni</w:t>
      </w:r>
      <w:bookmarkStart w:id="35" w:name="chapter2-h42"/>
      <w:bookmarkEnd w:id="35"/>
    </w:p>
    <w:p>
      <w:pPr/>
      <w:r>
        <w:rPr>
          <w:b w:val="0"/>
        </w:rPr>
        <w:t xml:space="preserve">A Btk. 420. § vizsgálatában az eljárás eredményének befolyásolására irányuló, a törvény által körülírt megállapodás vagy összehangolt magatartás, illetve döntés és a versenykorlátozás a lényeg. Nem minden közbeszerzési hiba kartell. Nem minden versenyjogi kartell tartozik e büntetőjogi tényállás alá. </w:t>
      </w:r>
      <w:hyperlink w:anchor="F08">
        <w:r>
          <w:rPr>
            <w:color w:val="21618C"/>
          </w:rPr>
          <w:t>[F08]</w:t>
        </w:r>
      </w:hyperlink>
    </w:p>
    <w:p>
      <w:pPr/>
      <w:r>
        <w:rPr>
          <w:b/>
        </w:rPr>
        <w:t>Tipikus vizsgálati hipotézisek:</w:t>
      </w:r>
      <w:r>
        <w:rPr>
          <w:b w:val="0"/>
        </w:rPr>
        <w:t xml:space="preserve"> előre kiosztott nyertes; fedező ajánlat; egyeztetett ár; visszalépés fejében alvállalkozói munka; földrajzi vagy ügyfélfelosztás; közös ajánlatkészítőn keresztüli egyeztetés.</w:t>
      </w:r>
    </w:p>
    <w:p>
      <w:pPr/>
      <w:r>
        <w:rPr>
          <w:b/>
        </w:rPr>
        <w:t>A GVH útmutatói által is tárgyalt figyelmeztető minták:</w:t>
      </w:r>
      <w:r>
        <w:rPr>
          <w:b w:val="0"/>
        </w:rPr>
        <w:t xml:space="preserve"> ismétlődő ajánlattevői kör, szokatlan áregyezés, azonos hibák, visszalépések és későbbi alvállalkozói kapcsolatok. Ezek együttesen is vizsgálati jelzések, nem automatikus ítéletek. </w:t>
      </w:r>
      <w:hyperlink w:anchor="F23">
        <w:r>
          <w:rPr>
            <w:color w:val="21618C"/>
          </w:rPr>
          <w:t>[F23]</w:t>
        </w:r>
      </w:hyperlink>
    </w:p>
    <w:p>
      <w:pPr/>
      <w:r>
        <w:rPr>
          <w:b/>
        </w:rPr>
        <w:t>AI és adatelemzés feladata:</w:t>
      </w:r>
    </w:p>
    <w:p>
      <w:pPr>
        <w:pStyle w:val="ListBullet"/>
        <w:numPr>
          <w:ilvl w:val="0"/>
          <w:numId w:val="14"/>
        </w:numPr>
      </w:pPr>
      <w:r>
        <w:rPr>
          <w:b w:val="0"/>
        </w:rPr>
        <w:t>Dokumentumok szerkezeti és szöveges hasonlósága, ritka azonos elütések keresése.</w:t>
      </w:r>
    </w:p>
    <w:p>
      <w:pPr>
        <w:pStyle w:val="ListBullet"/>
        <w:numPr>
          <w:ilvl w:val="0"/>
          <w:numId w:val="14"/>
        </w:numPr>
      </w:pPr>
      <w:r>
        <w:rPr>
          <w:b w:val="0"/>
        </w:rPr>
        <w:t>Árvektorok, rangsorok, nyertesváltások és alvállalkozói kapcsolatok elemzése.</w:t>
      </w:r>
    </w:p>
    <w:p>
      <w:pPr>
        <w:pStyle w:val="ListBullet"/>
        <w:numPr>
          <w:ilvl w:val="0"/>
          <w:numId w:val="14"/>
        </w:numPr>
      </w:pPr>
      <w:r>
        <w:rPr>
          <w:b w:val="0"/>
        </w:rPr>
        <w:t>Ajánlattétel előtti kommunikáció időrendje, fájlverziók és szerzői metaadatok összevetése.</w:t>
      </w:r>
    </w:p>
    <w:p>
      <w:pPr>
        <w:pStyle w:val="ListBullet"/>
        <w:numPr>
          <w:ilvl w:val="0"/>
          <w:numId w:val="14"/>
        </w:numPr>
      </w:pPr>
      <w:r>
        <w:rPr>
          <w:b w:val="0"/>
        </w:rPr>
        <w:t>A bizonyított kapcsolat és a feltételezett kapcsolat külön megjelenítése.</w:t>
      </w:r>
    </w:p>
    <w:p>
      <w:pPr/>
      <w:r>
        <w:rPr>
          <w:b/>
        </w:rPr>
        <w:t>Ellenőrzés:</w:t>
      </w:r>
      <w:r>
        <w:rPr>
          <w:b w:val="0"/>
        </w:rPr>
        <w:t xml:space="preserve"> közös kötelező sablon, nyilvános árlista, ugyanaz a jogszerű szakmai tanácsadó, közös költségsokk vagy tényleges kapacitáshiány magyarázhat egyezést. Metaadatot lehet örökölni és módosítani, közös IP-cím lehet irodaházi vagy hálózati sajátosság; ezekből szerzőség vagy egyeztetés nem következik automatikusan.</w:t>
      </w:r>
    </w:p>
    <w:p>
      <w:pPr/>
      <w:r>
        <w:rPr>
          <w:b/>
        </w:rPr>
        <w:t>Magyar bírói példa:</w:t>
      </w:r>
      <w:r>
        <w:rPr>
          <w:b w:val="0"/>
        </w:rPr>
        <w:t xml:space="preserve"> a Kúria Bfv.1124/2022/10. számú határozata ismerteti az árlejtés előtti SMS-ek szerepét az ajánlati összegekről folyó egyeztetés értékelésében. Ez alátámasztja a kommunikáció és a tenderadat együtt vizsgálásának gyakorlati jelentőségét, de nem univerzális bizonyítási recept. </w:t>
      </w:r>
      <w:hyperlink w:anchor="F24">
        <w:r>
          <w:rPr>
            <w:color w:val="21618C"/>
          </w:rPr>
          <w:t>[F24]</w:t>
        </w:r>
      </w:hyperlink>
    </w:p>
    <w:p>
      <w:pPr>
        <w:pStyle w:val="Heading2"/>
      </w:pPr>
      <w:r>
        <w:rPr>
          <w:b w:val="0"/>
        </w:rPr>
        <w:t>2.10. Gazdasági erőfölény, piackizárás és állami intézkedések</w:t>
      </w:r>
      <w:bookmarkStart w:id="36" w:name="chapter2-h50"/>
      <w:bookmarkEnd w:id="36"/>
    </w:p>
    <w:p>
      <w:pPr/>
      <w:r>
        <w:rPr>
          <w:b w:val="0"/>
        </w:rPr>
        <w:t xml:space="preserve">A „gazdasági erővel való visszaélés” hétköznapi fogalmát pontosítani kell. A Tpvt. szerinti erőfölényes visszaéléshez az érintett termék- és földrajzi piac, az erőfölény, a kifogásolt magatartás és a jogi értékelés szükséges. A nagy méret, állami kapcsolatrendszer vagy magas piaci részesedés nem önmagában bizonyít visszaélést. </w:t>
      </w:r>
      <w:hyperlink w:anchor="F07">
        <w:r>
          <w:rPr>
            <w:color w:val="21618C"/>
          </w:rPr>
          <w:t>[F07]</w:t>
        </w:r>
      </w:hyperlink>
    </w:p>
    <w:p>
      <w:pPr/>
      <w:r>
        <w:rPr>
          <w:b/>
        </w:rPr>
        <w:t>Elemzési kérdések:</w:t>
      </w:r>
      <w:r>
        <w:rPr>
          <w:b w:val="0"/>
        </w:rPr>
        <w:t xml:space="preserve"> kik a tényleges helyettesítők; milyen belépési korlátok vannak; fennáll-e vevői ellenhatalom; ki fér hozzá nélkülözhetetlen infrastruktúrához; milyen a szerződéses kizárólagosság; van-e objektív indok a hozzáférés megtagadására; milyen hatás várható vagy figyelhető meg a versenyben?</w:t>
      </w:r>
    </w:p>
    <w:p>
      <w:pPr/>
      <w:r>
        <w:rPr>
          <w:b/>
        </w:rPr>
        <w:t>AI-feladat:</w:t>
      </w:r>
      <w:r>
        <w:rPr>
          <w:b w:val="0"/>
        </w:rPr>
        <w:t xml:space="preserve"> kizárólagossági, felmondási, árkedvezményi és hozzáférési kikötések kigyűjtése; a szolgáltatásmegtagadások időrendje; összehasonlítható szerződések eltérései. </w:t>
      </w:r>
      <w:r>
        <w:rPr>
          <w:b/>
        </w:rPr>
        <w:t>Korlát:</w:t>
      </w:r>
      <w:r>
        <w:rPr>
          <w:b w:val="0"/>
        </w:rPr>
        <w:t xml:space="preserve"> a piacmeghatározás és versenyhatás közgazdasági és jogi elemzés; egy nyelvi modell nem állapíthatja meg pusztán levelek alapján.</w:t>
      </w:r>
    </w:p>
    <w:p>
      <w:pPr/>
      <w:r>
        <w:rPr>
          <w:b w:val="0"/>
        </w:rPr>
        <w:t>Az állami szabályozás vagy koncessziós politika okozta piaci előny esetén először azt kell tisztázni, hogy vállalkozási magatartást, közhatalmi döntést, közbeszerzési szabálytalanságot, állami támogatási kérdést vagy személyhez köthető bűncselekményt vizsgálunk-e. A gazdaságpolitikai döntés vitathatósága nem azonos egy tisztviselő büntetőjogi felelősségével. Ha közben vesztegetés, szándékos vagyonkárosítás vagy hivatali visszaélés adatai merülnek fel, azok külön bizonyítási szálak.</w:t>
      </w:r>
    </w:p>
    <w:p>
      <w:pPr>
        <w:pStyle w:val="Heading2"/>
      </w:pPr>
      <w:r>
        <w:rPr>
          <w:b w:val="0"/>
        </w:rPr>
        <w:t>2.11. Pénzmosás és vagyonfelkutatás</w:t>
      </w:r>
      <w:bookmarkStart w:id="37" w:name="chapter2-h55"/>
      <w:bookmarkEnd w:id="37"/>
    </w:p>
    <w:p>
      <w:pPr/>
      <w:r>
        <w:rPr>
          <w:b/>
        </w:rPr>
        <w:t>Két külön kérdés:</w:t>
      </w:r>
      <w:r>
        <w:rPr>
          <w:b w:val="0"/>
        </w:rPr>
        <w:t xml:space="preserve"> honnan származott a vagyon, és most hol található, ki rendelkezik felette? A vagyonfelkutatáshoz nem szükséges minden esetben külön pénzmosási vádat kialakítani. A pénzmosás jogi vizsgálata az eredeten túl a konkrét elkövetési magatartást és az ahhoz tartozó tudattartalmat is igényli. </w:t>
      </w:r>
      <w:hyperlink w:anchor="F08">
        <w:r>
          <w:rPr>
            <w:color w:val="21618C"/>
          </w:rPr>
          <w:t>[F08, F25]</w:t>
        </w:r>
      </w:hyperlink>
    </w:p>
    <w:p>
      <w:pPr/>
      <w:r>
        <w:rPr>
          <w:b/>
        </w:rPr>
        <w:t>Javasolt pénzút-nyilvántartás:</w:t>
      </w:r>
      <w:r>
        <w:rPr>
          <w:b w:val="0"/>
        </w:rPr>
        <w:t xml:space="preserve"> összeg, pénznem, könyvelési és értéknap, küldő és fogadó számla, számlatulajdonos, rendelkezésre jogosult, közlemény, szerződés, tényleges szolgáltatás és az adat eredete. Külön mező jelölje, ha a kedvezményezettet csak feltételezzük.</w:t>
      </w:r>
    </w:p>
    <w:p>
      <w:pPr/>
      <w:r>
        <w:rPr>
          <w:b/>
        </w:rPr>
        <w:t>Vizsgálati jelek:</w:t>
      </w:r>
      <w:r>
        <w:rPr>
          <w:b w:val="0"/>
        </w:rPr>
        <w:t xml:space="preserve"> indokolatlanul sok köztes cég; gyors továbbküldés; készpénzfelvétel; tulajdonosváltás; kölcsönként feltüntetett kifizetés; kapcsolt ingatlanszerzés. </w:t>
      </w:r>
      <w:r>
        <w:rPr>
          <w:b/>
        </w:rPr>
        <w:t>Alternatíva:</w:t>
      </w:r>
      <w:r>
        <w:rPr>
          <w:b w:val="0"/>
        </w:rPr>
        <w:t xml:space="preserve"> dokumentált csoportfinanszírozás, valódi kölcsön, likviditáskezelés vagy szokásos kereskedelmi ügylet.</w:t>
      </w:r>
    </w:p>
    <w:p>
      <w:pPr/>
      <w:r>
        <w:rPr>
          <w:b w:val="0"/>
        </w:rPr>
        <w:t xml:space="preserve">Azonos vagyont több átutalásban látva nem szabad többször visszaszerezhető vagyonként összeadni. A zárolás vagy zár alá vétel nem azonos az államhoz ténylegesen visszakerült összeggel. Harmadik személy jogát, jóhiszemű szerzését, terheket, tulajdoni vitát és az értékmegőrzés költségét is kezelni kell. A nemzetközi és magyar vagyonkezelési reformok miatt a konkrét intézkedés napján hatályos szabály külön ellenőrzendő. </w:t>
      </w:r>
      <w:hyperlink w:anchor="F03">
        <w:r>
          <w:rPr>
            <w:color w:val="21618C"/>
          </w:rPr>
          <w:t>[F03, F26]</w:t>
        </w:r>
      </w:hyperlink>
    </w:p>
    <w:p>
      <w:pPr/>
      <w:r>
        <w:rPr>
          <w:b/>
        </w:rPr>
        <w:t>AI-feladat:</w:t>
      </w:r>
      <w:r>
        <w:rPr>
          <w:b w:val="0"/>
        </w:rPr>
        <w:t xml:space="preserve"> tranzakciók összekapcsolási javaslata, tulajdonosi idővonal, vagyoneltűnési kockázatot indokoló konkrét események kiemelése. </w:t>
      </w:r>
      <w:r>
        <w:rPr>
          <w:b/>
        </w:rPr>
        <w:t>Emberi döntés:</w:t>
      </w:r>
      <w:r>
        <w:rPr>
          <w:b w:val="0"/>
        </w:rPr>
        <w:t xml:space="preserve"> a vagyonbiztosítás jogalapja, szükségessége, arányossága és terjedelme. Az ingatlan vagy számla automatikus lefoglalása ne legyen rendszerfunkció.</w:t>
      </w:r>
    </w:p>
    <w:p>
      <w:pPr>
        <w:pStyle w:val="Heading2"/>
      </w:pPr>
      <w:r>
        <w:rPr>
          <w:b w:val="0"/>
        </w:rPr>
        <w:t>2.12. A természetes személy és a cég felelősségét külön kell felépíteni</w:t>
      </w:r>
      <w:bookmarkStart w:id="38" w:name="chapter2-h61"/>
      <w:bookmarkEnd w:id="38"/>
    </w:p>
    <w:p>
      <w:pPr/>
      <w:r>
        <w:rPr>
          <w:b w:val="0"/>
        </w:rPr>
        <w:t xml:space="preserve">A természetes személy részvétele és a jogi személlyel szemben alkalmazható intézkedés nem ugyanaz a döntés. A 2001. évi CIV. törvény 2026-ban alkalmazandó, módosított rendszerét kell vizsgálni; nem elegendő a régi összefoglaló, amely kizárólag az előnyszerzéshez kötötte a magyarázatot. A 2–3. § a jogi személy érintettségének és az intézkedéseknek az alapja; bizonyos esetekben önálló eljárás is lehetséges. </w:t>
      </w:r>
      <w:hyperlink w:anchor="F27">
        <w:r>
          <w:rPr>
            <w:color w:val="21618C"/>
          </w:rPr>
          <w:t>[F27]</w:t>
        </w:r>
      </w:hyperlink>
    </w:p>
    <w:p>
      <w:pPr/>
      <w:r>
        <w:rPr>
          <w:b/>
        </w:rPr>
        <w:t>Külön munkalap kell:</w:t>
      </w:r>
      <w:r>
        <w:rPr>
          <w:b w:val="0"/>
        </w:rPr>
        <w:t xml:space="preserve"> az érintett vezető/tag/alkalmazott szerepe; milyen tevékenységi körben járt el; a céghez kapcsolódó érdek vagy előny; vezetői tudomás vagy felügyeleti mulasztás az alkalmazandó fordulat szerint; a jogi személy saját eljárási jogai; esetleges jogutódlás. A kormány nem kezelhető úgy, mint egy magánvállalatként „megvádolható” általános entitás: konkrét szereplőket és jogalanyokat kell azonosítani.</w:t>
      </w:r>
    </w:p>
    <w:p>
      <w:pPr/>
      <w:r>
        <w:rPr>
          <w:b w:val="0"/>
        </w:rPr>
        <w:t>Az eltulajdonítás, fiktív számla, hamis teljesítésigazolás és számviteli hiányosság külön tényállást is felvethet. Ezek kapcsolata a korrupciós, vagyoni és költségvetési cselekménnyel nem oldható meg azzal, hogy a rendszer minden dokumentumhoz sok Btk.-szakaszt rendel. A szükséges halmazati elemzés emberi jogászi feladat.</w:t>
      </w:r>
    </w:p>
    <w:p>
      <w:pPr>
        <w:pStyle w:val="Heading2"/>
      </w:pPr>
      <w:r>
        <w:rPr>
          <w:b w:val="0"/>
        </w:rPr>
        <w:t>2.13. Közös bizonyítási mátrix – minden fontos állításhoz</w:t>
      </w:r>
      <w:bookmarkStart w:id="39" w:name="chapter2-h65"/>
      <w:bookmarkEnd w:id="39"/>
    </w:p>
    <w:tbl>
      <w:tblPr>
        <w:tblW w:type="dxa" w:w="9360"/>
        <w:jc w:val="left"/>
        <w:tblLayout w:type="fixed"/>
        <w:tblLook w:firstColumn="1" w:firstRow="1" w:lastColumn="0" w:lastRow="0" w:noHBand="0" w:noVBand="1" w:val="04A0"/>
        <w:tblInd w:type="dxa" w:w="120"/>
        <w:tblCellMar>
          <w:top w:w="80" w:type="dxa"/>
          <w:bottom w:w="80" w:type="dxa"/>
          <w:start w:w="120" w:type="dxa"/>
          <w:end w:w="120" w:type="dxa"/>
        </w:tblCellMar>
        <w:tblBorders>
          <w:top w:val="single" w:sz="4" w:color="D9E0E5"/>
          <w:left w:val="single" w:sz="4" w:color="D9E0E5"/>
          <w:bottom w:val="single" w:sz="4" w:color="D9E0E5"/>
          <w:right w:val="single" w:sz="4" w:color="D9E0E5"/>
          <w:insideH w:val="single" w:sz="4" w:color="D9E0E5"/>
          <w:insideV w:val="single" w:sz="4" w:color="D9E0E5"/>
        </w:tblBorders>
      </w:tblPr>
      <w:tblGrid>
        <w:gridCol w:w="2850"/>
        <w:gridCol w:w="6510"/>
      </w:tblGrid>
      <w:tr>
        <w:trPr>
          <w:tblHeader/>
          <w:cantSplit/>
        </w:trPr>
        <w:tc>
          <w:tcPr>
            <w:tcW w:type="dxa" w:w="2850"/>
            <w:vAlign w:val="top"/>
            <w:shd w:fill="F2F4F7"/>
          </w:tcPr>
          <w:p>
            <w:pPr>
              <w:pStyle w:val="TableText"/>
              <w:keepNext/>
            </w:pPr>
            <w:r>
              <w:rPr>
                <w:b/>
              </w:rPr>
              <w:t>Mező</w:t>
            </w:r>
          </w:p>
        </w:tc>
        <w:tc>
          <w:tcPr>
            <w:tcW w:type="dxa" w:w="6510"/>
            <w:vAlign w:val="top"/>
            <w:shd w:fill="F2F4F7"/>
          </w:tcPr>
          <w:p>
            <w:pPr>
              <w:pStyle w:val="TableText"/>
              <w:keepNext/>
            </w:pPr>
            <w:r>
              <w:rPr>
                <w:b/>
              </w:rPr>
              <w:t>Mit kell rögzíteni?</w:t>
            </w:r>
          </w:p>
        </w:tc>
      </w:tr>
      <w:tr>
        <w:trPr>
          <w:cantSplit/>
        </w:trPr>
        <w:tc>
          <w:tcPr>
            <w:tcW w:type="dxa" w:w="2850"/>
            <w:vAlign w:val="top"/>
          </w:tcPr>
          <w:p>
            <w:pPr>
              <w:pStyle w:val="TableText"/>
            </w:pPr>
            <w:r>
              <w:rPr>
                <w:b w:val="0"/>
              </w:rPr>
              <w:t>Állításazonosító</w:t>
            </w:r>
          </w:p>
        </w:tc>
        <w:tc>
          <w:tcPr>
            <w:tcW w:type="dxa" w:w="6510"/>
            <w:vAlign w:val="top"/>
          </w:tcPr>
          <w:p>
            <w:pPr>
              <w:pStyle w:val="TableText"/>
            </w:pPr>
            <w:r>
              <w:rPr>
                <w:b w:val="0"/>
              </w:rPr>
              <w:t>Stabil azonosító, például T-014</w:t>
            </w:r>
          </w:p>
        </w:tc>
      </w:tr>
      <w:tr>
        <w:trPr>
          <w:cantSplit/>
        </w:trPr>
        <w:tc>
          <w:tcPr>
            <w:tcW w:type="dxa" w:w="2850"/>
            <w:vAlign w:val="top"/>
          </w:tcPr>
          <w:p>
            <w:pPr>
              <w:pStyle w:val="TableText"/>
            </w:pPr>
            <w:r>
              <w:rPr>
                <w:b w:val="0"/>
              </w:rPr>
              <w:t>Tényállítás</w:t>
            </w:r>
          </w:p>
        </w:tc>
        <w:tc>
          <w:tcPr>
            <w:tcW w:type="dxa" w:w="6510"/>
            <w:vAlign w:val="top"/>
          </w:tcPr>
          <w:p>
            <w:pPr>
              <w:pStyle w:val="TableText"/>
            </w:pPr>
            <w:r>
              <w:rPr>
                <w:b w:val="0"/>
              </w:rPr>
              <w:t>Egy ellenőrizhető mondat; ne jogi minősítés legyen</w:t>
            </w:r>
          </w:p>
        </w:tc>
      </w:tr>
      <w:tr>
        <w:trPr>
          <w:cantSplit/>
        </w:trPr>
        <w:tc>
          <w:tcPr>
            <w:tcW w:type="dxa" w:w="2850"/>
            <w:vAlign w:val="top"/>
          </w:tcPr>
          <w:p>
            <w:pPr>
              <w:pStyle w:val="TableText"/>
            </w:pPr>
            <w:r>
              <w:rPr>
                <w:b w:val="0"/>
              </w:rPr>
              <w:t>Érintett és szerep</w:t>
            </w:r>
          </w:p>
        </w:tc>
        <w:tc>
          <w:tcPr>
            <w:tcW w:type="dxa" w:w="6510"/>
            <w:vAlign w:val="top"/>
          </w:tcPr>
          <w:p>
            <w:pPr>
              <w:pStyle w:val="TableText"/>
            </w:pPr>
            <w:r>
              <w:rPr>
                <w:b w:val="0"/>
              </w:rPr>
              <w:t>Személy/cég, adott időben betöltött szerep</w:t>
            </w:r>
          </w:p>
        </w:tc>
      </w:tr>
      <w:tr>
        <w:trPr>
          <w:cantSplit/>
        </w:trPr>
        <w:tc>
          <w:tcPr>
            <w:tcW w:type="dxa" w:w="2850"/>
            <w:vAlign w:val="top"/>
          </w:tcPr>
          <w:p>
            <w:pPr>
              <w:pStyle w:val="TableText"/>
            </w:pPr>
            <w:r>
              <w:rPr>
                <w:b w:val="0"/>
              </w:rPr>
              <w:t>Bizonyítandó elem</w:t>
            </w:r>
          </w:p>
        </w:tc>
        <w:tc>
          <w:tcPr>
            <w:tcW w:type="dxa" w:w="6510"/>
            <w:vAlign w:val="top"/>
          </w:tcPr>
          <w:p>
            <w:pPr>
              <w:pStyle w:val="TableText"/>
            </w:pPr>
            <w:r>
              <w:rPr>
                <w:b w:val="0"/>
              </w:rPr>
              <w:t>Mely ténykérdéshez kapcsolódik?</w:t>
            </w:r>
          </w:p>
        </w:tc>
      </w:tr>
      <w:tr>
        <w:trPr>
          <w:cantSplit/>
        </w:trPr>
        <w:tc>
          <w:tcPr>
            <w:tcW w:type="dxa" w:w="2850"/>
            <w:vAlign w:val="top"/>
          </w:tcPr>
          <w:p>
            <w:pPr>
              <w:pStyle w:val="TableText"/>
            </w:pPr>
            <w:r>
              <w:rPr>
                <w:b w:val="0"/>
              </w:rPr>
              <w:t>Terhelő forrás</w:t>
            </w:r>
          </w:p>
        </w:tc>
        <w:tc>
          <w:tcPr>
            <w:tcW w:type="dxa" w:w="6510"/>
            <w:vAlign w:val="top"/>
          </w:tcPr>
          <w:p>
            <w:pPr>
              <w:pStyle w:val="TableText"/>
            </w:pPr>
            <w:r>
              <w:rPr>
                <w:b w:val="0"/>
              </w:rPr>
              <w:t>Irat-ID, oldal/bekezdés vagy hang-időkód</w:t>
            </w:r>
          </w:p>
        </w:tc>
      </w:tr>
      <w:tr>
        <w:trPr>
          <w:cantSplit/>
        </w:trPr>
        <w:tc>
          <w:tcPr>
            <w:tcW w:type="dxa" w:w="2850"/>
            <w:vAlign w:val="top"/>
          </w:tcPr>
          <w:p>
            <w:pPr>
              <w:pStyle w:val="TableText"/>
            </w:pPr>
            <w:r>
              <w:rPr>
                <w:b w:val="0"/>
              </w:rPr>
              <w:t>Mentő/ellentétes forrás</w:t>
            </w:r>
          </w:p>
        </w:tc>
        <w:tc>
          <w:tcPr>
            <w:tcW w:type="dxa" w:w="6510"/>
            <w:vAlign w:val="top"/>
          </w:tcPr>
          <w:p>
            <w:pPr>
              <w:pStyle w:val="TableText"/>
            </w:pPr>
            <w:r>
              <w:rPr>
                <w:b w:val="0"/>
              </w:rPr>
              <w:t>Ugyanolyan részletes hivatkozás</w:t>
            </w:r>
          </w:p>
        </w:tc>
      </w:tr>
      <w:tr>
        <w:trPr>
          <w:cantSplit/>
        </w:trPr>
        <w:tc>
          <w:tcPr>
            <w:tcW w:type="dxa" w:w="2850"/>
            <w:vAlign w:val="top"/>
          </w:tcPr>
          <w:p>
            <w:pPr>
              <w:pStyle w:val="TableText"/>
            </w:pPr>
            <w:r>
              <w:rPr>
                <w:b w:val="0"/>
              </w:rPr>
              <w:t>Eredet és felhasználhatóság</w:t>
            </w:r>
          </w:p>
        </w:tc>
        <w:tc>
          <w:tcPr>
            <w:tcW w:type="dxa" w:w="6510"/>
            <w:vAlign w:val="top"/>
          </w:tcPr>
          <w:p>
            <w:pPr>
              <w:pStyle w:val="TableText"/>
            </w:pPr>
            <w:r>
              <w:rPr>
                <w:b w:val="0"/>
              </w:rPr>
              <w:t>Beszerzés jogalapja, korlát, ellenőrzési állapot</w:t>
            </w:r>
          </w:p>
        </w:tc>
      </w:tr>
      <w:tr>
        <w:trPr>
          <w:cantSplit/>
        </w:trPr>
        <w:tc>
          <w:tcPr>
            <w:tcW w:type="dxa" w:w="2850"/>
            <w:vAlign w:val="top"/>
          </w:tcPr>
          <w:p>
            <w:pPr>
              <w:pStyle w:val="TableText"/>
            </w:pPr>
            <w:r>
              <w:rPr>
                <w:b w:val="0"/>
              </w:rPr>
              <w:t>Források függősége</w:t>
            </w:r>
          </w:p>
        </w:tc>
        <w:tc>
          <w:tcPr>
            <w:tcW w:type="dxa" w:w="6510"/>
            <w:vAlign w:val="top"/>
          </w:tcPr>
          <w:p>
            <w:pPr>
              <w:pStyle w:val="TableText"/>
            </w:pPr>
            <w:r>
              <w:rPr>
                <w:b w:val="0"/>
              </w:rPr>
              <w:t>Önálló megerősítés vagy ugyanannak az állításnak ismétlése?</w:t>
            </w:r>
          </w:p>
        </w:tc>
      </w:tr>
      <w:tr>
        <w:trPr>
          <w:cantSplit/>
        </w:trPr>
        <w:tc>
          <w:tcPr>
            <w:tcW w:type="dxa" w:w="2850"/>
            <w:vAlign w:val="top"/>
          </w:tcPr>
          <w:p>
            <w:pPr>
              <w:pStyle w:val="TableText"/>
            </w:pPr>
            <w:r>
              <w:rPr>
                <w:b w:val="0"/>
              </w:rPr>
              <w:t>Alternatív magyarázat</w:t>
            </w:r>
          </w:p>
        </w:tc>
        <w:tc>
          <w:tcPr>
            <w:tcW w:type="dxa" w:w="6510"/>
            <w:vAlign w:val="top"/>
          </w:tcPr>
          <w:p>
            <w:pPr>
              <w:pStyle w:val="TableText"/>
            </w:pPr>
            <w:r>
              <w:rPr>
                <w:b w:val="0"/>
              </w:rPr>
              <w:t>Reális, ellenőrizhető ellenhipotézis</w:t>
            </w:r>
          </w:p>
        </w:tc>
      </w:tr>
      <w:tr>
        <w:trPr>
          <w:cantSplit/>
        </w:trPr>
        <w:tc>
          <w:tcPr>
            <w:tcW w:type="dxa" w:w="2850"/>
            <w:vAlign w:val="top"/>
          </w:tcPr>
          <w:p>
            <w:pPr>
              <w:pStyle w:val="TableText"/>
            </w:pPr>
            <w:r>
              <w:rPr>
                <w:b w:val="0"/>
              </w:rPr>
              <w:t>Hiányzó bizonyíték</w:t>
            </w:r>
          </w:p>
        </w:tc>
        <w:tc>
          <w:tcPr>
            <w:tcW w:type="dxa" w:w="6510"/>
            <w:vAlign w:val="top"/>
          </w:tcPr>
          <w:p>
            <w:pPr>
              <w:pStyle w:val="TableText"/>
            </w:pPr>
            <w:r>
              <w:rPr>
                <w:b w:val="0"/>
              </w:rPr>
              <w:t>Pontosan milyen beszerzés vagy kérdés szükséges?</w:t>
            </w:r>
          </w:p>
        </w:tc>
      </w:tr>
      <w:tr>
        <w:trPr>
          <w:cantSplit/>
        </w:trPr>
        <w:tc>
          <w:tcPr>
            <w:tcW w:type="dxa" w:w="2850"/>
            <w:vAlign w:val="top"/>
          </w:tcPr>
          <w:p>
            <w:pPr>
              <w:pStyle w:val="TableText"/>
            </w:pPr>
            <w:r>
              <w:rPr>
                <w:b w:val="0"/>
              </w:rPr>
              <w:t>Emberi státusz</w:t>
            </w:r>
          </w:p>
        </w:tc>
        <w:tc>
          <w:tcPr>
            <w:tcW w:type="dxa" w:w="6510"/>
            <w:vAlign w:val="top"/>
          </w:tcPr>
          <w:p>
            <w:pPr>
              <w:pStyle w:val="TableText"/>
            </w:pPr>
            <w:r>
              <w:rPr>
                <w:b w:val="0"/>
              </w:rPr>
              <w:t>Nem ellenőrzött / részben ellenőrzött / ellenőrzött / elvetett</w:t>
            </w:r>
          </w:p>
        </w:tc>
      </w:tr>
      <w:tr>
        <w:trPr>
          <w:cantSplit/>
        </w:trPr>
        <w:tc>
          <w:tcPr>
            <w:tcW w:type="dxa" w:w="2850"/>
            <w:vAlign w:val="top"/>
          </w:tcPr>
          <w:p>
            <w:pPr>
              <w:pStyle w:val="TableText"/>
            </w:pPr>
            <w:r>
              <w:rPr>
                <w:b w:val="0"/>
              </w:rPr>
              <w:t>Következő lépés</w:t>
            </w:r>
          </w:p>
        </w:tc>
        <w:tc>
          <w:tcPr>
            <w:tcW w:type="dxa" w:w="6510"/>
            <w:vAlign w:val="top"/>
          </w:tcPr>
          <w:p>
            <w:pPr>
              <w:pStyle w:val="TableText"/>
            </w:pPr>
            <w:r>
              <w:rPr>
                <w:b w:val="0"/>
              </w:rPr>
              <w:t>Felelős, határidő és jogi engedélyigény</w:t>
            </w:r>
          </w:p>
        </w:tc>
      </w:tr>
    </w:tbl>
    <w:p>
      <w:pPr>
        <w:spacing w:after="80"/>
      </w:pPr>
    </w:p>
    <w:p>
      <w:pPr/>
      <w:r>
        <w:rPr>
          <w:b w:val="0"/>
        </w:rPr>
        <w:t>Nem szabad több, egymást másoló jelentést több független bizonyítékként megjeleníteni. Egy sajtócikk, az arra épülő bejelentés és az azt összefoglaló AI-szöveg nem három önálló megerősítés.</w:t>
      </w:r>
    </w:p>
    <w:p>
      <w:pPr>
        <w:pStyle w:val="Heading2"/>
      </w:pPr>
      <w:r>
        <w:rPr>
          <w:b w:val="0"/>
        </w:rPr>
        <w:t>2.14. Végigvezetett mintapélda: fiktív megyei informatikai tender</w:t>
      </w:r>
      <w:bookmarkStart w:id="40" w:name="chapter2-h68"/>
      <w:bookmarkEnd w:id="40"/>
    </w:p>
    <w:p>
      <w:pPr/>
      <w:r>
        <w:rPr>
          <w:b/>
        </w:rPr>
        <w:t>Kitalált kiinduló helyzet:</w:t>
      </w:r>
      <w:r>
        <w:rPr>
          <w:b w:val="0"/>
        </w:rPr>
        <w:t xml:space="preserve"> közintézmény 2,4 milliárdos informatikai beszerzése; három ajánlattevő; későbbi szerződésmódosítás; 120 milliós tanácsadási díj egy közvetítő cégének. A feljelentés szerint előre kiválasztották a nyertest.</w:t>
      </w:r>
    </w:p>
    <w:p>
      <w:pPr/>
      <w:r>
        <w:rPr>
          <w:b/>
        </w:rPr>
        <w:t>1. Először az ügyhatárt és az adatot kell biztosítani.</w:t>
      </w:r>
      <w:r>
        <w:rPr>
          <w:b w:val="0"/>
        </w:rPr>
        <w:t xml:space="preserve"> Beszerzési azonosító, döntési időpontok, forrásfinanszírozás, érintett szereplők és meglévő eljárások. Teljes ajánlati és bírálati anyag, jóváhagyási nyomvonal, jogszerűen beszerezhető levelezés és szolgáltatói megőrzés. Még nincs bizonyítva korrupció.</w:t>
      </w:r>
    </w:p>
    <w:p>
      <w:pPr/>
      <w:r>
        <w:rPr>
          <w:b/>
        </w:rPr>
        <w:t>2. Párhuzamos hipotézisek.</w:t>
      </w:r>
      <w:r>
        <w:rPr>
          <w:b w:val="0"/>
        </w:rPr>
        <w:t xml:space="preserve"> H1: ajánlattevői egyeztetés. H2: ajánlatkérői kedvezményezés jogtalan előnyért. H3: valós verseny, de gyenge beszerzési előkészítés. H4: indokolt többletszolgáltatás magyarázza az árat és módosítást. Mindegyikhez külön keresési terv és cáfoló adat kell.</w:t>
      </w:r>
    </w:p>
    <w:p>
      <w:pPr/>
      <w:r>
        <w:rPr>
          <w:b/>
        </w:rPr>
        <w:t>3. AI előfeldolgozás.</w:t>
      </w:r>
      <w:r>
        <w:rPr>
          <w:b w:val="0"/>
        </w:rPr>
        <w:t xml:space="preserve"> Szerződésverziók, szereplők, időpontok, műszaki feltételek, levelezési szálak és pénzügyi tételek strukturálása. A kimenet minden állításnál dokumentumhoz kapcsolódik. Azonos vezetéknevű személyeket csak ellenőrzés után szabad összevonni.</w:t>
      </w:r>
    </w:p>
    <w:p>
      <w:pPr/>
      <w:r>
        <w:rPr>
          <w:b/>
        </w:rPr>
        <w:t>4. Találat értelmezése.</w:t>
      </w:r>
      <w:r>
        <w:rPr>
          <w:b w:val="0"/>
        </w:rPr>
        <w:t xml:space="preserve"> Egy levélben ez áll: „a másik kettő tudja a számot”. Ez lehet összehangolt ajánlat jele, de lehet nyilvános keretösszegre utalás. Meg kell nézni az előzményt, címzetteket, csatolmányt és a benyújtott ajánlatokat. A levél első és utolsó mondata közötti különbség fontosabb lehet, mint a kiemelt idézet.</w:t>
      </w:r>
    </w:p>
    <w:p>
      <w:pPr/>
      <w:r>
        <w:rPr>
          <w:b/>
        </w:rPr>
        <w:t>5. Pénzügyi és teljesítési ellenőrzés.</w:t>
      </w:r>
      <w:r>
        <w:rPr>
          <w:b w:val="0"/>
        </w:rPr>
        <w:t xml:space="preserve"> A 120 milliós díjhoz készült-e tényleges munka? Kinek a javára és mikor? Hová került a pénz? A banki forgalom és a teljesítési dokumentum együtt vizsgálandó. A díj nagysága önmagában nem bizonyít jogtalan előnyt.</w:t>
      </w:r>
    </w:p>
    <w:p>
      <w:pPr/>
      <w:r>
        <w:rPr>
          <w:b/>
        </w:rPr>
        <w:t>6. Célzott kihallgatás.</w:t>
      </w:r>
      <w:r>
        <w:rPr>
          <w:b w:val="0"/>
        </w:rPr>
        <w:t xml:space="preserve"> Ki írta a műszaki paramétert? Ki ismerte az ajánlati árakat? Mi a tanácsadási anyag létrejöttének ellenőrizhető nyoma? A tanú szabad előadását nem válthatja fel az AI által megfogalmazott, állításokat sugalló kérdéssor.</w:t>
      </w:r>
    </w:p>
    <w:p>
      <w:pPr/>
      <w:r>
        <w:rPr>
          <w:b/>
        </w:rPr>
        <w:t>7. Döntési kapu.</w:t>
      </w:r>
      <w:r>
        <w:rPr>
          <w:b w:val="0"/>
        </w:rPr>
        <w:t xml:space="preserve"> Ha az egyeztetés bizonyítékai erősek, de a vesztegetési szálhoz nincs az előny és a döntés közötti kapcsolat, ezt a kettőt külön kell értékelni. Ha egy önálló cselekmény teljesen feltárt, az elkülönítés jogszerűsége és célszerűsége megvizsgálható. Nem szabad a cselekmények mesterséges feldarabolásával a törvényi egységet, a teljes bizonyítást vagy a ne bis in idem elvét megkerülni.</w:t>
      </w:r>
    </w:p>
    <w:p>
      <w:pPr/>
      <w:r>
        <w:rPr>
          <w:b/>
        </w:rPr>
        <w:t>A technológia értéke ebben a példában:</w:t>
      </w:r>
      <w:r>
        <w:rPr>
          <w:b w:val="0"/>
        </w:rPr>
        <w:t xml:space="preserve"> a kézi keresés és egyeztetés egy részét elvégzi; láthatóvá teszi, mi bizonyított és mi hiányzik. Nem állapítja meg, hogy ki bűnös, és nem pótolja a hiányzó bizonyítékot.</w:t>
      </w:r>
    </w:p>
    <w:p>
      <w:r>
        <w:br w:type="page"/>
      </w:r>
    </w:p>
    <w:p>
      <w:pPr>
        <w:pStyle w:val="Heading1"/>
      </w:pPr>
      <w:r>
        <w:rPr>
          <w:b w:val="0"/>
        </w:rPr>
        <w:t>3. AI-eszközök, adatfeldolgozás és biztonságos használat</w:t>
      </w:r>
      <w:bookmarkStart w:id="41" w:name="chapter3"/>
      <w:bookmarkEnd w:id="41"/>
    </w:p>
    <w:p>
      <w:pPr/>
      <w:r>
        <w:rPr>
          <w:b/>
        </w:rPr>
        <w:t>Kutatási zárónap: 2026. augusztus 30. | A termékleírások ellenőrizendő gyártói állítások, nem teszteredmények.</w:t>
      </w:r>
    </w:p>
    <w:p>
      <w:pPr>
        <w:pStyle w:val="Heading2"/>
      </w:pPr>
      <w:r>
        <w:rPr>
          <w:b w:val="0"/>
        </w:rPr>
        <w:t>3.1. Milyen rendszert érdemes elképzelni?</w:t>
      </w:r>
      <w:bookmarkStart w:id="42" w:name="chapter3-h2"/>
      <w:bookmarkEnd w:id="42"/>
    </w:p>
    <w:p>
      <w:pPr/>
      <w:r>
        <w:rPr>
          <w:b w:val="0"/>
        </w:rPr>
        <w:t>A hasznos megoldás egy ellenőrizhető bizonyítékfeldolgozó munkakörnyezet. Eredeti iratot, levelezést, pénzügyi adatot és hanganyagot kezel; összekapcsolja a forrásokat; megjelöli az ellenőrzendő állításokat; segít látni, mely tényállási elemhez nincs még megfelelő bizonyíték. A nyelvi modell ennek egyik eleme.</w:t>
      </w:r>
    </w:p>
    <w:p>
      <w:pPr/>
      <w:r>
        <w:rPr>
          <w:b w:val="0"/>
        </w:rPr>
        <w:t>Az „AI végigolvassa az összes iratot” önmagában nem megfelelő terv. Előbb azt kell biztosítani, hogy az összes átvett adat valóban bekerült, a csatolmányok nem vesztek el, a kereső nem hagy ki formátumokat, a felhasználó csak jogosultan hozzáférhető adatot lásson, és minden kivonat visszavezessen az eredetihez. A rendszer sebességét ezért az ellenőrzött, használható megállapításig kell mérni.</w:t>
      </w:r>
    </w:p>
    <w:p>
      <w:pPr/>
      <w:r>
        <w:rPr>
          <w:b/>
        </w:rPr>
        <w:t>Négy egymást kiegészítő eszköztípus:</w:t>
      </w:r>
    </w:p>
    <w:p>
      <w:pPr>
        <w:pStyle w:val="ListBullet"/>
        <w:numPr>
          <w:ilvl w:val="0"/>
          <w:numId w:val="15"/>
        </w:numPr>
      </w:pPr>
      <w:r>
        <w:rPr>
          <w:b/>
        </w:rPr>
        <w:t>Hagyományos adatfeldolgozás:</w:t>
      </w:r>
      <w:r>
        <w:rPr>
          <w:b w:val="0"/>
        </w:rPr>
        <w:t xml:space="preserve"> fájlfelismerés, duplikátumkezelés, OCR, táblázatos egyeztetés, dátum- és számlaszám-ellenőrzés. Az összeadás és egyezésvizsgálat nem nyelvi modell feladata.</w:t>
      </w:r>
    </w:p>
    <w:p>
      <w:pPr>
        <w:pStyle w:val="ListBullet"/>
        <w:numPr>
          <w:ilvl w:val="0"/>
          <w:numId w:val="15"/>
        </w:numPr>
      </w:pPr>
      <w:r>
        <w:rPr>
          <w:b/>
        </w:rPr>
        <w:t>Keresés és gépi tanulás:</w:t>
      </w:r>
      <w:r>
        <w:rPr>
          <w:b w:val="0"/>
        </w:rPr>
        <w:t xml:space="preserve"> szó szerinti és jelentésalapú keresés együtt; csoportosítás; emberi címkézésből tanuló iratpriorizálás, azaz technológiával támogatott áttekintés, röviden TAR.</w:t>
      </w:r>
    </w:p>
    <w:p>
      <w:pPr>
        <w:pStyle w:val="ListBullet"/>
        <w:numPr>
          <w:ilvl w:val="0"/>
          <w:numId w:val="15"/>
        </w:numPr>
      </w:pPr>
      <w:r>
        <w:rPr>
          <w:b/>
        </w:rPr>
        <w:t>Generatív AI:</w:t>
      </w:r>
      <w:r>
        <w:rPr>
          <w:b w:val="0"/>
        </w:rPr>
        <w:t xml:space="preserve"> forráshivatkozásos kivonat, eseményjelölt, ellentmondásjelölt, lehetséges kihallgatási kérdés és iratvázlat.</w:t>
      </w:r>
    </w:p>
    <w:p>
      <w:pPr>
        <w:pStyle w:val="ListBullet"/>
        <w:numPr>
          <w:ilvl w:val="0"/>
          <w:numId w:val="15"/>
        </w:numPr>
      </w:pPr>
      <w:r>
        <w:rPr>
          <w:b/>
        </w:rPr>
        <w:t>Emberi bizonyítási munka:</w:t>
      </w:r>
      <w:r>
        <w:rPr>
          <w:b w:val="0"/>
        </w:rPr>
        <w:t xml:space="preserve"> a forrás hitelessége, az összefüggés, a mentő magyarázat, a személyes felelősség és a jogi minősítés ellenőrzése.</w:t>
      </w:r>
    </w:p>
    <w:p>
      <w:pPr>
        <w:pStyle w:val="Heading2"/>
      </w:pPr>
      <w:r>
        <w:rPr>
          <w:b w:val="0"/>
        </w:rPr>
        <w:t>3.2. Hol lehet gyorsítani? Feladatonkénti térkép</w:t>
      </w:r>
      <w:bookmarkStart w:id="43" w:name="chapter3-h7"/>
      <w:bookmarkEnd w:id="43"/>
    </w:p>
    <w:p>
      <w:pPr/>
      <w:r>
        <w:rPr>
          <w:b w:val="0"/>
        </w:rPr>
        <w:t>Az alábbi sorrend bevezetési javaslat. A „nagy” haszon az adott munkacsomagban jelenthet nagy előnyt; nem az egész nyomozás automatikus rövidítését jelenti. Mért magyar eredmény nélkül százalékos ígéret nem indokolt.</w:t>
      </w:r>
    </w:p>
    <w:tbl>
      <w:tblPr>
        <w:tblW w:type="dxa" w:w="9360"/>
        <w:jc w:val="left"/>
        <w:tblLayout w:type="fixed"/>
        <w:tblLook w:firstColumn="1" w:firstRow="1" w:lastColumn="0" w:lastRow="0" w:noHBand="0" w:noVBand="1" w:val="04A0"/>
        <w:tblInd w:type="dxa" w:w="120"/>
        <w:tblCellMar>
          <w:top w:w="80" w:type="dxa"/>
          <w:bottom w:w="80" w:type="dxa"/>
          <w:start w:w="120" w:type="dxa"/>
          <w:end w:w="120" w:type="dxa"/>
        </w:tblCellMar>
        <w:tblBorders>
          <w:top w:val="single" w:sz="4" w:color="D9E0E5"/>
          <w:left w:val="single" w:sz="4" w:color="D9E0E5"/>
          <w:bottom w:val="single" w:sz="4" w:color="D9E0E5"/>
          <w:right w:val="single" w:sz="4" w:color="D9E0E5"/>
          <w:insideH w:val="single" w:sz="4" w:color="D9E0E5"/>
          <w:insideV w:val="single" w:sz="4" w:color="D9E0E5"/>
        </w:tblBorders>
      </w:tblPr>
      <w:tblGrid>
        <w:gridCol w:w="2400"/>
        <w:gridCol w:w="2320"/>
        <w:gridCol w:w="2320"/>
        <w:gridCol w:w="2320"/>
      </w:tblGrid>
      <w:tr>
        <w:trPr>
          <w:tblHeader/>
          <w:cantSplit/>
        </w:trPr>
        <w:tc>
          <w:tcPr>
            <w:tcW w:type="dxa" w:w="2400"/>
            <w:vAlign w:val="top"/>
            <w:shd w:fill="F2F4F7"/>
          </w:tcPr>
          <w:p>
            <w:pPr>
              <w:pStyle w:val="TableText"/>
              <w:keepNext/>
            </w:pPr>
            <w:r>
              <w:rPr>
                <w:b/>
              </w:rPr>
              <w:t>Feladat és bemenet</w:t>
            </w:r>
          </w:p>
        </w:tc>
        <w:tc>
          <w:tcPr>
            <w:tcW w:type="dxa" w:w="2320"/>
            <w:vAlign w:val="top"/>
            <w:shd w:fill="F2F4F7"/>
          </w:tcPr>
          <w:p>
            <w:pPr>
              <w:pStyle w:val="TableText"/>
              <w:keepNext/>
            </w:pPr>
            <w:r>
              <w:rPr>
                <w:b/>
              </w:rPr>
              <w:t>Javasolt támogatás, kézzelfogható kimenet</w:t>
            </w:r>
          </w:p>
        </w:tc>
        <w:tc>
          <w:tcPr>
            <w:tcW w:type="dxa" w:w="2320"/>
            <w:vAlign w:val="top"/>
            <w:shd w:fill="F2F4F7"/>
          </w:tcPr>
          <w:p>
            <w:pPr>
              <w:pStyle w:val="TableText"/>
              <w:keepNext/>
            </w:pPr>
            <w:r>
              <w:rPr>
                <w:b/>
              </w:rPr>
              <w:t>Várható haszon</w:t>
            </w:r>
          </w:p>
        </w:tc>
        <w:tc>
          <w:tcPr>
            <w:tcW w:type="dxa" w:w="2320"/>
            <w:vAlign w:val="top"/>
            <w:shd w:fill="F2F4F7"/>
          </w:tcPr>
          <w:p>
            <w:pPr>
              <w:pStyle w:val="TableText"/>
              <w:keepNext/>
            </w:pPr>
            <w:r>
              <w:rPr>
                <w:b/>
              </w:rPr>
              <w:t>Kötelező emberi ellenőrzés</w:t>
            </w:r>
          </w:p>
        </w:tc>
      </w:tr>
      <w:tr>
        <w:trPr>
          <w:cantSplit/>
        </w:trPr>
        <w:tc>
          <w:tcPr>
            <w:tcW w:type="dxa" w:w="2400"/>
            <w:vAlign w:val="top"/>
          </w:tcPr>
          <w:p>
            <w:pPr>
              <w:pStyle w:val="TableText"/>
            </w:pPr>
            <w:r>
              <w:rPr>
                <w:b w:val="0"/>
              </w:rPr>
              <w:t>Iratbevitel, szkennelt PDF</w:t>
            </w:r>
          </w:p>
        </w:tc>
        <w:tc>
          <w:tcPr>
            <w:tcW w:type="dxa" w:w="2320"/>
            <w:vAlign w:val="top"/>
          </w:tcPr>
          <w:p>
            <w:pPr>
              <w:pStyle w:val="TableText"/>
            </w:pPr>
            <w:r>
              <w:rPr>
                <w:b w:val="0"/>
              </w:rPr>
              <w:t>OCR, típusfelismerés, duplikátumok és csatolmánykapcsolatok; kereshető iratjegyzék</w:t>
            </w:r>
          </w:p>
        </w:tc>
        <w:tc>
          <w:tcPr>
            <w:tcW w:type="dxa" w:w="2320"/>
            <w:vAlign w:val="top"/>
          </w:tcPr>
          <w:p>
            <w:pPr>
              <w:pStyle w:val="TableText"/>
            </w:pPr>
            <w:r>
              <w:rPr>
                <w:b w:val="0"/>
              </w:rPr>
              <w:t>Nagy, gyakran AI nélkül is</w:t>
            </w:r>
          </w:p>
        </w:tc>
        <w:tc>
          <w:tcPr>
            <w:tcW w:type="dxa" w:w="2320"/>
            <w:vAlign w:val="top"/>
          </w:tcPr>
          <w:p>
            <w:pPr>
              <w:pStyle w:val="TableText"/>
            </w:pPr>
            <w:r>
              <w:rPr>
                <w:b w:val="0"/>
              </w:rPr>
              <w:t>Hiányzó oldalak, olvashatatlan iratok, darabszám-egyeztetés</w:t>
            </w:r>
          </w:p>
        </w:tc>
      </w:tr>
      <w:tr>
        <w:trPr>
          <w:cantSplit/>
        </w:trPr>
        <w:tc>
          <w:tcPr>
            <w:tcW w:type="dxa" w:w="2400"/>
            <w:vAlign w:val="top"/>
          </w:tcPr>
          <w:p>
            <w:pPr>
              <w:pStyle w:val="TableText"/>
            </w:pPr>
            <w:r>
              <w:rPr>
                <w:b w:val="0"/>
              </w:rPr>
              <w:t>Tömeges e-mail és chat</w:t>
            </w:r>
          </w:p>
        </w:tc>
        <w:tc>
          <w:tcPr>
            <w:tcW w:type="dxa" w:w="2320"/>
            <w:vAlign w:val="top"/>
          </w:tcPr>
          <w:p>
            <w:pPr>
              <w:pStyle w:val="TableText"/>
            </w:pPr>
            <w:r>
              <w:rPr>
                <w:b w:val="0"/>
              </w:rPr>
              <w:t>Szálak, témák, résztvevők, célzott relevanciarangsor; ellenőrzési sor</w:t>
            </w:r>
          </w:p>
        </w:tc>
        <w:tc>
          <w:tcPr>
            <w:tcW w:type="dxa" w:w="2320"/>
            <w:vAlign w:val="top"/>
          </w:tcPr>
          <w:p>
            <w:pPr>
              <w:pStyle w:val="TableText"/>
            </w:pPr>
            <w:r>
              <w:rPr>
                <w:b w:val="0"/>
              </w:rPr>
              <w:t>Nagy</w:t>
            </w:r>
          </w:p>
        </w:tc>
        <w:tc>
          <w:tcPr>
            <w:tcW w:type="dxa" w:w="2320"/>
            <w:vAlign w:val="top"/>
          </w:tcPr>
          <w:p>
            <w:pPr>
              <w:pStyle w:val="TableText"/>
            </w:pPr>
            <w:r>
              <w:rPr>
                <w:b w:val="0"/>
              </w:rPr>
              <w:t>Teljes beszélgetés, irónia, idézett szöveg, elhagyott találatok mintája</w:t>
            </w:r>
          </w:p>
        </w:tc>
      </w:tr>
      <w:tr>
        <w:trPr>
          <w:cantSplit/>
        </w:trPr>
        <w:tc>
          <w:tcPr>
            <w:tcW w:type="dxa" w:w="2400"/>
            <w:vAlign w:val="top"/>
          </w:tcPr>
          <w:p>
            <w:pPr>
              <w:pStyle w:val="TableText"/>
            </w:pPr>
            <w:r>
              <w:rPr>
                <w:b w:val="0"/>
              </w:rPr>
              <w:t>Szerződés és módosítás</w:t>
            </w:r>
          </w:p>
        </w:tc>
        <w:tc>
          <w:tcPr>
            <w:tcW w:type="dxa" w:w="2320"/>
            <w:vAlign w:val="top"/>
          </w:tcPr>
          <w:p>
            <w:pPr>
              <w:pStyle w:val="TableText"/>
            </w:pPr>
            <w:r>
              <w:rPr>
                <w:b w:val="0"/>
              </w:rPr>
              <w:t>Kötelezettségek, díjak, határidők, mellékletek és verzióeltérések kinyerése</w:t>
            </w:r>
          </w:p>
        </w:tc>
        <w:tc>
          <w:tcPr>
            <w:tcW w:type="dxa" w:w="2320"/>
            <w:vAlign w:val="top"/>
          </w:tcPr>
          <w:p>
            <w:pPr>
              <w:pStyle w:val="TableText"/>
            </w:pPr>
            <w:r>
              <w:rPr>
                <w:b w:val="0"/>
              </w:rPr>
              <w:t>Nagy</w:t>
            </w:r>
          </w:p>
        </w:tc>
        <w:tc>
          <w:tcPr>
            <w:tcW w:type="dxa" w:w="2320"/>
            <w:vAlign w:val="top"/>
          </w:tcPr>
          <w:p>
            <w:pPr>
              <w:pStyle w:val="TableText"/>
            </w:pPr>
            <w:r>
              <w:rPr>
                <w:b w:val="0"/>
              </w:rPr>
              <w:t>Aláírt és tervezeti változat, melléklet, feltétel, hatály</w:t>
            </w:r>
          </w:p>
        </w:tc>
      </w:tr>
      <w:tr>
        <w:trPr>
          <w:cantSplit/>
        </w:trPr>
        <w:tc>
          <w:tcPr>
            <w:tcW w:type="dxa" w:w="2400"/>
            <w:vAlign w:val="top"/>
          </w:tcPr>
          <w:p>
            <w:pPr>
              <w:pStyle w:val="TableText"/>
            </w:pPr>
            <w:r>
              <w:rPr>
                <w:b w:val="0"/>
              </w:rPr>
              <w:t>Ajánlatok, tenderek</w:t>
            </w:r>
          </w:p>
        </w:tc>
        <w:tc>
          <w:tcPr>
            <w:tcW w:type="dxa" w:w="2320"/>
            <w:vAlign w:val="top"/>
          </w:tcPr>
          <w:p>
            <w:pPr>
              <w:pStyle w:val="TableText"/>
            </w:pPr>
            <w:r>
              <w:rPr>
                <w:b w:val="0"/>
              </w:rPr>
              <w:t>Azonos hibák, minták, árviszonyok, szűkítő feltételek és közös eredetre utaló adatok</w:t>
            </w:r>
          </w:p>
        </w:tc>
        <w:tc>
          <w:tcPr>
            <w:tcW w:type="dxa" w:w="2320"/>
            <w:vAlign w:val="top"/>
          </w:tcPr>
          <w:p>
            <w:pPr>
              <w:pStyle w:val="TableText"/>
            </w:pPr>
            <w:r>
              <w:rPr>
                <w:b w:val="0"/>
              </w:rPr>
              <w:t>Közepes–nagy</w:t>
            </w:r>
          </w:p>
        </w:tc>
        <w:tc>
          <w:tcPr>
            <w:tcW w:type="dxa" w:w="2320"/>
            <w:vAlign w:val="top"/>
          </w:tcPr>
          <w:p>
            <w:pPr>
              <w:pStyle w:val="TableText"/>
            </w:pPr>
            <w:r>
              <w:rPr>
                <w:b w:val="0"/>
              </w:rPr>
              <w:t>Megengedett sablon, közös tanácsadó, piaci és műszaki magyarázat</w:t>
            </w:r>
          </w:p>
        </w:tc>
      </w:tr>
      <w:tr>
        <w:trPr>
          <w:cantSplit/>
        </w:trPr>
        <w:tc>
          <w:tcPr>
            <w:tcW w:type="dxa" w:w="2400"/>
            <w:vAlign w:val="top"/>
          </w:tcPr>
          <w:p>
            <w:pPr>
              <w:pStyle w:val="TableText"/>
            </w:pPr>
            <w:r>
              <w:rPr>
                <w:b w:val="0"/>
              </w:rPr>
              <w:t>Pénzügyi kivonat, számla</w:t>
            </w:r>
          </w:p>
        </w:tc>
        <w:tc>
          <w:tcPr>
            <w:tcW w:type="dxa" w:w="2320"/>
            <w:vAlign w:val="top"/>
          </w:tcPr>
          <w:p>
            <w:pPr>
              <w:pStyle w:val="TableText"/>
            </w:pPr>
            <w:r>
              <w:rPr>
                <w:b w:val="0"/>
              </w:rPr>
              <w:t>Strukturált tranzakcióegyeztetés, körutalás- és időzítésjelzés; pénzúttábla</w:t>
            </w:r>
          </w:p>
        </w:tc>
        <w:tc>
          <w:tcPr>
            <w:tcW w:type="dxa" w:w="2320"/>
            <w:vAlign w:val="top"/>
          </w:tcPr>
          <w:p>
            <w:pPr>
              <w:pStyle w:val="TableText"/>
            </w:pPr>
            <w:r>
              <w:rPr>
                <w:b w:val="0"/>
              </w:rPr>
              <w:t>Nagy, főleg adatmodellezéssel</w:t>
            </w:r>
          </w:p>
        </w:tc>
        <w:tc>
          <w:tcPr>
            <w:tcW w:type="dxa" w:w="2320"/>
            <w:vAlign w:val="top"/>
          </w:tcPr>
          <w:p>
            <w:pPr>
              <w:pStyle w:val="TableText"/>
            </w:pPr>
            <w:r>
              <w:rPr>
                <w:b w:val="0"/>
              </w:rPr>
              <w:t>Deviza, visszautalás, nettó/bruttó, könyvelés és teljesülés eltérése</w:t>
            </w:r>
          </w:p>
        </w:tc>
      </w:tr>
      <w:tr>
        <w:trPr>
          <w:cantSplit/>
        </w:trPr>
        <w:tc>
          <w:tcPr>
            <w:tcW w:type="dxa" w:w="2400"/>
            <w:vAlign w:val="top"/>
          </w:tcPr>
          <w:p>
            <w:pPr>
              <w:pStyle w:val="TableText"/>
            </w:pPr>
            <w:r>
              <w:rPr>
                <w:b w:val="0"/>
              </w:rPr>
              <w:t>Hang és lehallgatás</w:t>
            </w:r>
          </w:p>
        </w:tc>
        <w:tc>
          <w:tcPr>
            <w:tcW w:type="dxa" w:w="2320"/>
            <w:vAlign w:val="top"/>
          </w:tcPr>
          <w:p>
            <w:pPr>
              <w:pStyle w:val="TableText"/>
            </w:pPr>
            <w:r>
              <w:rPr>
                <w:b w:val="0"/>
              </w:rPr>
              <w:t>Időbélyeges gépi leirat, keresés, beszélőszakaszok és témák</w:t>
            </w:r>
          </w:p>
        </w:tc>
        <w:tc>
          <w:tcPr>
            <w:tcW w:type="dxa" w:w="2320"/>
            <w:vAlign w:val="top"/>
          </w:tcPr>
          <w:p>
            <w:pPr>
              <w:pStyle w:val="TableText"/>
            </w:pPr>
            <w:r>
              <w:rPr>
                <w:b w:val="0"/>
              </w:rPr>
              <w:t>Nagy, jó hangminőségnél</w:t>
            </w:r>
          </w:p>
        </w:tc>
        <w:tc>
          <w:tcPr>
            <w:tcW w:type="dxa" w:w="2320"/>
            <w:vAlign w:val="top"/>
          </w:tcPr>
          <w:p>
            <w:pPr>
              <w:pStyle w:val="TableText"/>
            </w:pPr>
            <w:r>
              <w:rPr>
                <w:b w:val="0"/>
              </w:rPr>
              <w:t>Lényegi részek visszahallgatása, beszélőazonosítás és bizonytalan szavak</w:t>
            </w:r>
          </w:p>
        </w:tc>
      </w:tr>
      <w:tr>
        <w:trPr>
          <w:cantSplit/>
        </w:trPr>
        <w:tc>
          <w:tcPr>
            <w:tcW w:type="dxa" w:w="2400"/>
            <w:vAlign w:val="top"/>
          </w:tcPr>
          <w:p>
            <w:pPr>
              <w:pStyle w:val="TableText"/>
            </w:pPr>
            <w:r>
              <w:rPr>
                <w:b w:val="0"/>
              </w:rPr>
              <w:t>Tanúvallomások</w:t>
            </w:r>
          </w:p>
        </w:tc>
        <w:tc>
          <w:tcPr>
            <w:tcW w:type="dxa" w:w="2320"/>
            <w:vAlign w:val="top"/>
          </w:tcPr>
          <w:p>
            <w:pPr>
              <w:pStyle w:val="TableText"/>
            </w:pPr>
            <w:r>
              <w:rPr>
                <w:b w:val="0"/>
              </w:rPr>
              <w:t>Állítások eseményhez rendezése, időbeli és tartalmi eltérések</w:t>
            </w:r>
          </w:p>
        </w:tc>
        <w:tc>
          <w:tcPr>
            <w:tcW w:type="dxa" w:w="2320"/>
            <w:vAlign w:val="top"/>
          </w:tcPr>
          <w:p>
            <w:pPr>
              <w:pStyle w:val="TableText"/>
            </w:pPr>
            <w:r>
              <w:rPr>
                <w:b w:val="0"/>
              </w:rPr>
              <w:t>Közepes–nagy</w:t>
            </w:r>
          </w:p>
        </w:tc>
        <w:tc>
          <w:tcPr>
            <w:tcW w:type="dxa" w:w="2320"/>
            <w:vAlign w:val="top"/>
          </w:tcPr>
          <w:p>
            <w:pPr>
              <w:pStyle w:val="TableText"/>
            </w:pPr>
            <w:r>
              <w:rPr>
                <w:b w:val="0"/>
              </w:rPr>
              <w:t>Emlékezeti bizonytalanság, kérdés megfogalmazása, közvetlen tudás vagy hallomás</w:t>
            </w:r>
          </w:p>
        </w:tc>
      </w:tr>
      <w:tr>
        <w:trPr>
          <w:cantSplit/>
        </w:trPr>
        <w:tc>
          <w:tcPr>
            <w:tcW w:type="dxa" w:w="2400"/>
            <w:vAlign w:val="top"/>
          </w:tcPr>
          <w:p>
            <w:pPr>
              <w:pStyle w:val="TableText"/>
            </w:pPr>
            <w:r>
              <w:rPr>
                <w:b w:val="0"/>
              </w:rPr>
              <w:t>Cég- és szereplőháló</w:t>
            </w:r>
          </w:p>
        </w:tc>
        <w:tc>
          <w:tcPr>
            <w:tcW w:type="dxa" w:w="2320"/>
            <w:vAlign w:val="top"/>
          </w:tcPr>
          <w:p>
            <w:pPr>
              <w:pStyle w:val="TableText"/>
            </w:pPr>
            <w:r>
              <w:rPr>
                <w:b w:val="0"/>
              </w:rPr>
              <w:t>Azonosítóalapú kapcsolatépítés, időállapot; kapcsolati ábra</w:t>
            </w:r>
          </w:p>
        </w:tc>
        <w:tc>
          <w:tcPr>
            <w:tcW w:type="dxa" w:w="2320"/>
            <w:vAlign w:val="top"/>
          </w:tcPr>
          <w:p>
            <w:pPr>
              <w:pStyle w:val="TableText"/>
            </w:pPr>
            <w:r>
              <w:rPr>
                <w:b w:val="0"/>
              </w:rPr>
              <w:t>Közepes–nagy</w:t>
            </w:r>
          </w:p>
        </w:tc>
        <w:tc>
          <w:tcPr>
            <w:tcW w:type="dxa" w:w="2320"/>
            <w:vAlign w:val="top"/>
          </w:tcPr>
          <w:p>
            <w:pPr>
              <w:pStyle w:val="TableText"/>
            </w:pPr>
            <w:r>
              <w:rPr>
                <w:b w:val="0"/>
              </w:rPr>
              <w:t>Névazonosság, korábbi cégnév, valódi irányítás és formális tisztség</w:t>
            </w:r>
          </w:p>
        </w:tc>
      </w:tr>
      <w:tr>
        <w:trPr>
          <w:cantSplit/>
        </w:trPr>
        <w:tc>
          <w:tcPr>
            <w:tcW w:type="dxa" w:w="2400"/>
            <w:vAlign w:val="top"/>
          </w:tcPr>
          <w:p>
            <w:pPr>
              <w:pStyle w:val="TableText"/>
            </w:pPr>
            <w:r>
              <w:rPr>
                <w:b w:val="0"/>
              </w:rPr>
              <w:t>Szakértő előkészítése</w:t>
            </w:r>
          </w:p>
        </w:tc>
        <w:tc>
          <w:tcPr>
            <w:tcW w:type="dxa" w:w="2320"/>
            <w:vAlign w:val="top"/>
          </w:tcPr>
          <w:p>
            <w:pPr>
              <w:pStyle w:val="TableText"/>
            </w:pPr>
            <w:r>
              <w:rPr>
                <w:b w:val="0"/>
              </w:rPr>
              <w:t>Dokumentumjegyzék, hiánylista, célzott kérdések és ellenőrizhető adatcsomag</w:t>
            </w:r>
          </w:p>
        </w:tc>
        <w:tc>
          <w:tcPr>
            <w:tcW w:type="dxa" w:w="2320"/>
            <w:vAlign w:val="top"/>
          </w:tcPr>
          <w:p>
            <w:pPr>
              <w:pStyle w:val="TableText"/>
            </w:pPr>
            <w:r>
              <w:rPr>
                <w:b w:val="0"/>
              </w:rPr>
              <w:t>Közepes, de kevés újramunkával nagy</w:t>
            </w:r>
          </w:p>
        </w:tc>
        <w:tc>
          <w:tcPr>
            <w:tcW w:type="dxa" w:w="2320"/>
            <w:vAlign w:val="top"/>
          </w:tcPr>
          <w:p>
            <w:pPr>
              <w:pStyle w:val="TableText"/>
            </w:pPr>
            <w:r>
              <w:rPr>
                <w:b w:val="0"/>
              </w:rPr>
              <w:t>A szakkérdés helyessége, összehasonlíthatóság, kirendelés tartalma</w:t>
            </w:r>
          </w:p>
        </w:tc>
      </w:tr>
      <w:tr>
        <w:trPr>
          <w:cantSplit/>
        </w:trPr>
        <w:tc>
          <w:tcPr>
            <w:tcW w:type="dxa" w:w="2400"/>
            <w:vAlign w:val="top"/>
          </w:tcPr>
          <w:p>
            <w:pPr>
              <w:pStyle w:val="TableText"/>
            </w:pPr>
            <w:r>
              <w:rPr>
                <w:b w:val="0"/>
              </w:rPr>
              <w:t>Jogi kutatás</w:t>
            </w:r>
          </w:p>
        </w:tc>
        <w:tc>
          <w:tcPr>
            <w:tcW w:type="dxa" w:w="2320"/>
            <w:vAlign w:val="top"/>
          </w:tcPr>
          <w:p>
            <w:pPr>
              <w:pStyle w:val="TableText"/>
            </w:pPr>
            <w:r>
              <w:rPr>
                <w:b w:val="0"/>
              </w:rPr>
              <w:t>Hatályos és történeti jogszabály, releváns döntés keresése</w:t>
            </w:r>
          </w:p>
        </w:tc>
        <w:tc>
          <w:tcPr>
            <w:tcW w:type="dxa" w:w="2320"/>
            <w:vAlign w:val="top"/>
          </w:tcPr>
          <w:p>
            <w:pPr>
              <w:pStyle w:val="TableText"/>
            </w:pPr>
            <w:r>
              <w:rPr>
                <w:b w:val="0"/>
              </w:rPr>
              <w:t>Közepes</w:t>
            </w:r>
          </w:p>
        </w:tc>
        <w:tc>
          <w:tcPr>
            <w:tcW w:type="dxa" w:w="2320"/>
            <w:vAlign w:val="top"/>
          </w:tcPr>
          <w:p>
            <w:pPr>
              <w:pStyle w:val="TableText"/>
            </w:pPr>
            <w:r>
              <w:rPr>
                <w:b w:val="0"/>
              </w:rPr>
              <w:t>Pontos időállapot, teljes döntés és eltérő tényállás</w:t>
            </w:r>
          </w:p>
        </w:tc>
      </w:tr>
      <w:tr>
        <w:trPr>
          <w:cantSplit/>
        </w:trPr>
        <w:tc>
          <w:tcPr>
            <w:tcW w:type="dxa" w:w="2400"/>
            <w:vAlign w:val="top"/>
          </w:tcPr>
          <w:p>
            <w:pPr>
              <w:pStyle w:val="TableText"/>
            </w:pPr>
            <w:r>
              <w:rPr>
                <w:b w:val="0"/>
              </w:rPr>
              <w:t>Vádirat-előkészítés</w:t>
            </w:r>
          </w:p>
        </w:tc>
        <w:tc>
          <w:tcPr>
            <w:tcW w:type="dxa" w:w="2320"/>
            <w:vAlign w:val="top"/>
          </w:tcPr>
          <w:p>
            <w:pPr>
              <w:pStyle w:val="TableText"/>
            </w:pPr>
            <w:r>
              <w:rPr>
                <w:b w:val="0"/>
              </w:rPr>
              <w:t>Ember által jóváhagyott állításokból vázlat, forrásjegyzék és hiányriasztás</w:t>
            </w:r>
          </w:p>
        </w:tc>
        <w:tc>
          <w:tcPr>
            <w:tcW w:type="dxa" w:w="2320"/>
            <w:vAlign w:val="top"/>
          </w:tcPr>
          <w:p>
            <w:pPr>
              <w:pStyle w:val="TableText"/>
            </w:pPr>
            <w:r>
              <w:rPr>
                <w:b w:val="0"/>
              </w:rPr>
              <w:t>Közepes</w:t>
            </w:r>
          </w:p>
        </w:tc>
        <w:tc>
          <w:tcPr>
            <w:tcW w:type="dxa" w:w="2320"/>
            <w:vAlign w:val="top"/>
          </w:tcPr>
          <w:p>
            <w:pPr>
              <w:pStyle w:val="TableText"/>
            </w:pPr>
            <w:r>
              <w:rPr>
                <w:b w:val="0"/>
              </w:rPr>
              <w:t>Minden tény, minősítés, személyhez rendelés és hivatkozás</w:t>
            </w:r>
          </w:p>
        </w:tc>
      </w:tr>
      <w:tr>
        <w:trPr>
          <w:cantSplit/>
        </w:trPr>
        <w:tc>
          <w:tcPr>
            <w:tcW w:type="dxa" w:w="2400"/>
            <w:vAlign w:val="top"/>
          </w:tcPr>
          <w:p>
            <w:pPr>
              <w:pStyle w:val="TableText"/>
            </w:pPr>
            <w:r>
              <w:rPr>
                <w:b w:val="0"/>
              </w:rPr>
              <w:t>Kézbesítés, külföldi végrehajtás</w:t>
            </w:r>
          </w:p>
        </w:tc>
        <w:tc>
          <w:tcPr>
            <w:tcW w:type="dxa" w:w="2320"/>
            <w:vAlign w:val="top"/>
          </w:tcPr>
          <w:p>
            <w:pPr>
              <w:pStyle w:val="TableText"/>
            </w:pPr>
            <w:r>
              <w:rPr>
                <w:b w:val="0"/>
              </w:rPr>
              <w:t>Határidőfigyelés, teljesebb megkeresés</w:t>
            </w:r>
          </w:p>
        </w:tc>
        <w:tc>
          <w:tcPr>
            <w:tcW w:type="dxa" w:w="2320"/>
            <w:vAlign w:val="top"/>
          </w:tcPr>
          <w:p>
            <w:pPr>
              <w:pStyle w:val="TableText"/>
            </w:pPr>
            <w:r>
              <w:rPr>
                <w:b w:val="0"/>
              </w:rPr>
              <w:t>Korlátozott közvetlenül</w:t>
            </w:r>
          </w:p>
        </w:tc>
        <w:tc>
          <w:tcPr>
            <w:tcW w:type="dxa" w:w="2320"/>
            <w:vAlign w:val="top"/>
          </w:tcPr>
          <w:p>
            <w:pPr>
              <w:pStyle w:val="TableText"/>
            </w:pPr>
            <w:r>
              <w:rPr>
                <w:b w:val="0"/>
              </w:rPr>
              <w:t>Az eljárási döntést és külső teljesítést a modell nem helyettesíti</w:t>
            </w:r>
          </w:p>
        </w:tc>
      </w:tr>
    </w:tbl>
    <w:p>
      <w:pPr>
        <w:spacing w:after="80"/>
      </w:pPr>
    </w:p>
    <w:p>
      <w:pPr/>
      <w:r>
        <w:rPr>
          <w:b/>
        </w:rPr>
        <w:t>Elsőként a kereshető, megbízható iratállományt, a forrásos idővonalat és a bizonyítási hiánylistát érdemes létrehozni.</w:t>
      </w:r>
      <w:r>
        <w:rPr>
          <w:b w:val="0"/>
        </w:rPr>
        <w:t xml:space="preserve"> Ezek nemcsak az első átolvasást, hanem a későbbi kihallgatást, szakértői munkát és vádiratot is segítik.</w:t>
      </w:r>
    </w:p>
    <w:p>
      <w:pPr>
        <w:pStyle w:val="Heading3"/>
      </w:pPr>
      <w:r>
        <w:rPr>
          <w:b w:val="0"/>
        </w:rPr>
        <w:t>Magyar nyelvi és ügytípusbeli hibák</w:t>
      </w:r>
      <w:bookmarkStart w:id="44" w:name="chapter3-h11"/>
      <w:bookmarkEnd w:id="44"/>
    </w:p>
    <w:p>
      <w:pPr/>
      <w:r>
        <w:rPr>
          <w:b w:val="0"/>
        </w:rPr>
        <w:t>A magyar személy- és cégnevek toldalékos alakjai, ékezetvesztése, rövidítései, korabeli intézménynevei és elgépelései külön tesztet igényelnek. A „nem hagytam jóvá” mondatból elvesző „nem” megfordítja a jelentést. Ugyanígy veszélyes a millió és milliárd, nettó és bruttó, 2021 és 2027, illetve „ötven” és „hetven” tévesztése. A régi fax, pecsét, kézírás, képernyőkép és táblázat más minőségvizsgálatot kíván.</w:t>
      </w:r>
    </w:p>
    <w:p>
      <w:pPr/>
      <w:r>
        <w:rPr>
          <w:b w:val="0"/>
        </w:rPr>
        <w:t>A hang beszélőszakaszokra bontása nem bizonyítja a beszélő személyazonosságát. Az AI által jelzett ellentmondás sem bizonyít hazugságot: lehet más időszakról, más projektről vagy eltérő kérdésről szó. A célzott ellenőrzést segítő jelzés hasznos; a „hazudik” címke szakmailag és jogilag nem megfelelő.</w:t>
      </w:r>
    </w:p>
    <w:p>
      <w:pPr>
        <w:pStyle w:val="Heading2"/>
      </w:pPr>
      <w:r>
        <w:rPr>
          <w:b w:val="0"/>
        </w:rPr>
        <w:t>3.3. Hogyan nézzen ki egy AI-találat?</w:t>
      </w:r>
      <w:bookmarkStart w:id="45" w:name="chapter3-h14"/>
      <w:bookmarkEnd w:id="45"/>
    </w:p>
    <w:p>
      <w:pPr/>
      <w:r>
        <w:rPr>
          <w:b w:val="0"/>
        </w:rPr>
        <w:t>Egy használható találati kártya legalább az alábbiakat tartalmazza:</w:t>
      </w:r>
    </w:p>
    <w:p>
      <w:pPr>
        <w:pStyle w:val="ListNumber"/>
        <w:numPr>
          <w:ilvl w:val="0"/>
          <w:numId w:val="16"/>
        </w:numPr>
      </w:pPr>
      <w:r>
        <w:rPr>
          <w:b/>
        </w:rPr>
        <w:t>Ellenőrzendő állítás:</w:t>
      </w:r>
      <w:r>
        <w:rPr>
          <w:b w:val="0"/>
        </w:rPr>
        <w:t xml:space="preserve"> szűk, tényszerű megfogalmazás; ne legyen benne automatikus bűnösségi minősítés.</w:t>
      </w:r>
    </w:p>
    <w:p>
      <w:pPr>
        <w:pStyle w:val="ListNumber"/>
        <w:numPr>
          <w:ilvl w:val="0"/>
          <w:numId w:val="16"/>
        </w:numPr>
      </w:pPr>
      <w:r>
        <w:rPr>
          <w:b/>
        </w:rPr>
        <w:t>Forrás:</w:t>
      </w:r>
      <w:r>
        <w:rPr>
          <w:b w:val="0"/>
        </w:rPr>
        <w:t xml:space="preserve"> ügyazonosító, bizonyítékazonosító, fájlverzió, oldal/bekezdés vagy hang-időkód; megnyitható eredeti és pontos idézet.</w:t>
      </w:r>
    </w:p>
    <w:p>
      <w:pPr>
        <w:pStyle w:val="ListNumber"/>
        <w:numPr>
          <w:ilvl w:val="0"/>
          <w:numId w:val="16"/>
        </w:numPr>
      </w:pPr>
      <w:r>
        <w:rPr>
          <w:b/>
        </w:rPr>
        <w:t>Kontextus:</w:t>
      </w:r>
      <w:r>
        <w:rPr>
          <w:b w:val="0"/>
        </w:rPr>
        <w:t xml:space="preserve"> előző és következő üzenet, csatolmány, beszélgetés résztvevői, releváns dátumok.</w:t>
      </w:r>
    </w:p>
    <w:p>
      <w:pPr>
        <w:pStyle w:val="ListNumber"/>
        <w:numPr>
          <w:ilvl w:val="0"/>
          <w:numId w:val="16"/>
        </w:numPr>
      </w:pPr>
      <w:r>
        <w:rPr>
          <w:b/>
        </w:rPr>
        <w:t>Kapcsolódó kérdés:</w:t>
      </w:r>
      <w:r>
        <w:rPr>
          <w:b w:val="0"/>
        </w:rPr>
        <w:t xml:space="preserve"> például előzetes ajánlategyeztetés, a teljesítés valódisága, döntési jogkör vagy pénzmozgás.</w:t>
      </w:r>
    </w:p>
    <w:p>
      <w:pPr>
        <w:pStyle w:val="ListNumber"/>
        <w:numPr>
          <w:ilvl w:val="0"/>
          <w:numId w:val="16"/>
        </w:numPr>
      </w:pPr>
      <w:r>
        <w:rPr>
          <w:b/>
        </w:rPr>
        <w:t>Bizonytalanság és alternatíva:</w:t>
      </w:r>
      <w:r>
        <w:rPr>
          <w:b w:val="0"/>
        </w:rPr>
        <w:t xml:space="preserve"> hiányzó csatolmány, bizonytalan személyazonosítás, jogszerű üzleti magyarázat.</w:t>
      </w:r>
    </w:p>
    <w:p>
      <w:pPr>
        <w:pStyle w:val="ListNumber"/>
        <w:numPr>
          <w:ilvl w:val="0"/>
          <w:numId w:val="16"/>
        </w:numPr>
      </w:pPr>
      <w:r>
        <w:rPr>
          <w:b/>
        </w:rPr>
        <w:t>Terhelő és mentő kapcsolatok:</w:t>
      </w:r>
      <w:r>
        <w:rPr>
          <w:b w:val="0"/>
        </w:rPr>
        <w:t xml:space="preserve"> mindkét irányban releváns adatok, azonos megjelenítési súllyal.</w:t>
      </w:r>
    </w:p>
    <w:p>
      <w:pPr>
        <w:pStyle w:val="ListNumber"/>
        <w:numPr>
          <w:ilvl w:val="0"/>
          <w:numId w:val="16"/>
        </w:numPr>
      </w:pPr>
      <w:r>
        <w:rPr>
          <w:b/>
        </w:rPr>
        <w:t>Emberi döntés:</w:t>
      </w:r>
      <w:r>
        <w:rPr>
          <w:b w:val="0"/>
        </w:rPr>
        <w:t xml:space="preserve"> elfogadott tény, további ellenőrzés, irreleváns jelzés vagy hibás találat; név, időpont és indok.</w:t>
      </w:r>
    </w:p>
    <w:p>
      <w:pPr>
        <w:pStyle w:val="ListNumber"/>
        <w:numPr>
          <w:ilvl w:val="0"/>
          <w:numId w:val="16"/>
        </w:numPr>
      </w:pPr>
      <w:r>
        <w:rPr>
          <w:b/>
        </w:rPr>
        <w:t>Feldolgozási nyom:</w:t>
      </w:r>
      <w:r>
        <w:rPr>
          <w:b w:val="0"/>
        </w:rPr>
        <w:t xml:space="preserve"> modell- és sablonverzió, keresési feltételek, feldolgozott források, eredményverzió.</w:t>
      </w:r>
    </w:p>
    <w:p>
      <w:pPr/>
      <w:r>
        <w:rPr>
          <w:b/>
        </w:rPr>
        <w:t>Kitalált példa:</w:t>
      </w:r>
      <w:r>
        <w:rPr>
          <w:b w:val="0"/>
        </w:rPr>
        <w:t xml:space="preserve"> „A D-1042 e-mail melléklete a későbbi nyertes ajánlat három egyedi elírását tartalmazza, a pályázati felhívás előtti dátummal. Ellenőrizendő az eredeti e-mail fejléc és a melléklet keletkezése. Alternatíva: korábbi jogszerű piaci konzultáció vagy újrahasznált közös sablon. Következő lépés: a feladó szerepének és a teljes levélszálnak az ellenőrzése.”</w:t>
      </w:r>
    </w:p>
    <w:p>
      <w:pPr/>
      <w:r>
        <w:rPr>
          <w:b w:val="0"/>
        </w:rPr>
        <w:t>Ez alkalmas nyomozói feladatra. Az „AI szerint 94% valószínűséggel kartell történt” nem helyettesíti a bizonyítást, és a modell saját bizonyossági száma nem kalibrált jogi valószínűség.</w:t>
      </w:r>
    </w:p>
    <w:p>
      <w:pPr>
        <w:pStyle w:val="Heading2"/>
      </w:pPr>
      <w:r>
        <w:rPr>
          <w:b w:val="0"/>
        </w:rPr>
        <w:t>3.4. Mely létező eszközök lehetnek érdemben vizsgálhatók?</w:t>
      </w:r>
      <w:bookmarkStart w:id="46" w:name="chapter3-h19"/>
      <w:bookmarkEnd w:id="46"/>
    </w:p>
    <w:p>
      <w:pPr/>
      <w:r>
        <w:rPr>
          <w:b w:val="0"/>
        </w:rPr>
        <w:t xml:space="preserve">Van dokumentált ügyészi alkalmazási tapasztalat: a brit Serious Fraud Office 2025. februári parlamenti válasz szerint a megelőző tizenkét hónapban folyamatban lévő büntetőügyekben próbált technológiával támogatott iratáttekintést, a bizonyítékfeltárási kötelezettség hatékonyabb teljesítésére. Ez a felhasználási irány realitását alátámasztja, de nem igazol magyar nyelvi teljesítményt, meghatározott megtakarítási arányt vagy minden generatív termék alkalmasságát. </w:t>
      </w:r>
      <w:hyperlink w:anchor="F33">
        <w:r>
          <w:rPr>
            <w:color w:val="21618C"/>
          </w:rPr>
          <w:t>[F33]</w:t>
        </w:r>
      </w:hyperlink>
    </w:p>
    <w:tbl>
      <w:tblPr>
        <w:tblW w:type="dxa" w:w="9360"/>
        <w:jc w:val="left"/>
        <w:tblLayout w:type="fixed"/>
        <w:tblLook w:firstColumn="1" w:firstRow="1" w:lastColumn="0" w:lastRow="0" w:noHBand="0" w:noVBand="1" w:val="04A0"/>
        <w:tblInd w:type="dxa" w:w="120"/>
        <w:tblCellMar>
          <w:top w:w="80" w:type="dxa"/>
          <w:bottom w:w="80" w:type="dxa"/>
          <w:start w:w="120" w:type="dxa"/>
          <w:end w:w="120" w:type="dxa"/>
        </w:tblCellMar>
        <w:tblBorders>
          <w:top w:val="single" w:sz="4" w:color="D9E0E5"/>
          <w:left w:val="single" w:sz="4" w:color="D9E0E5"/>
          <w:bottom w:val="single" w:sz="4" w:color="D9E0E5"/>
          <w:right w:val="single" w:sz="4" w:color="D9E0E5"/>
          <w:insideH w:val="single" w:sz="4" w:color="D9E0E5"/>
          <w:insideV w:val="single" w:sz="4" w:color="D9E0E5"/>
        </w:tblBorders>
      </w:tblPr>
      <w:tblGrid>
        <w:gridCol w:w="1660"/>
        <w:gridCol w:w="2670"/>
        <w:gridCol w:w="2515"/>
        <w:gridCol w:w="2515"/>
      </w:tblGrid>
      <w:tr>
        <w:trPr>
          <w:tblHeader/>
          <w:cantSplit/>
        </w:trPr>
        <w:tc>
          <w:tcPr>
            <w:tcW w:type="dxa" w:w="1660"/>
            <w:vAlign w:val="top"/>
            <w:shd w:fill="F2F4F7"/>
          </w:tcPr>
          <w:p>
            <w:pPr>
              <w:pStyle w:val="TableText"/>
              <w:keepNext/>
            </w:pPr>
            <w:r>
              <w:rPr>
                <w:b/>
              </w:rPr>
              <w:t>Rendszer</w:t>
            </w:r>
          </w:p>
        </w:tc>
        <w:tc>
          <w:tcPr>
            <w:tcW w:type="dxa" w:w="2670"/>
            <w:vAlign w:val="top"/>
            <w:shd w:fill="F2F4F7"/>
          </w:tcPr>
          <w:p>
            <w:pPr>
              <w:pStyle w:val="TableText"/>
              <w:keepNext/>
            </w:pPr>
            <w:r>
              <w:rPr>
                <w:b/>
              </w:rPr>
              <w:t>Mire lehet jelölt?</w:t>
            </w:r>
          </w:p>
        </w:tc>
        <w:tc>
          <w:tcPr>
            <w:tcW w:type="dxa" w:w="2515"/>
            <w:vAlign w:val="top"/>
            <w:shd w:fill="F2F4F7"/>
          </w:tcPr>
          <w:p>
            <w:pPr>
              <w:pStyle w:val="TableText"/>
              <w:keepNext/>
            </w:pPr>
            <w:r>
              <w:rPr>
                <w:b/>
              </w:rPr>
              <w:t>Amit nem szabad adottnak tekinteni</w:t>
            </w:r>
          </w:p>
        </w:tc>
        <w:tc>
          <w:tcPr>
            <w:tcW w:type="dxa" w:w="2515"/>
            <w:vAlign w:val="top"/>
            <w:shd w:fill="F2F4F7"/>
          </w:tcPr>
          <w:p>
            <w:pPr>
              <w:pStyle w:val="TableText"/>
              <w:keepNext/>
            </w:pPr>
            <w:r>
              <w:rPr>
                <w:b/>
              </w:rPr>
              <w:t>Beszerzési következtetés</w:t>
            </w:r>
          </w:p>
        </w:tc>
      </w:tr>
      <w:tr>
        <w:trPr>
          <w:cantSplit/>
        </w:trPr>
        <w:tc>
          <w:tcPr>
            <w:tcW w:type="dxa" w:w="1660"/>
            <w:vAlign w:val="top"/>
          </w:tcPr>
          <w:p>
            <w:pPr>
              <w:pStyle w:val="TableText"/>
            </w:pPr>
            <w:r>
              <w:rPr>
                <w:b w:val="0"/>
              </w:rPr>
              <w:t>RelativityOne és aiR for Review</w:t>
            </w:r>
          </w:p>
        </w:tc>
        <w:tc>
          <w:tcPr>
            <w:tcW w:type="dxa" w:w="2670"/>
            <w:vAlign w:val="top"/>
          </w:tcPr>
          <w:p>
            <w:pPr>
              <w:pStyle w:val="TableText"/>
            </w:pPr>
            <w:r>
              <w:rPr>
                <w:b w:val="0"/>
              </w:rPr>
              <w:t>Nagy iratanyag áttekintése, relevancia és vizsgálati témák, forrással támogatott indoklás; kiforrott iratkezelési környezet</w:t>
            </w:r>
          </w:p>
        </w:tc>
        <w:tc>
          <w:tcPr>
            <w:tcW w:type="dxa" w:w="2515"/>
            <w:vAlign w:val="top"/>
          </w:tcPr>
          <w:p>
            <w:pPr>
              <w:pStyle w:val="TableText"/>
            </w:pPr>
            <w:r>
              <w:rPr>
                <w:b w:val="0"/>
              </w:rPr>
              <w:t>Magyar büntetőjogi pontosság, hatósági engedélyezettség, minden részfeldolgozás magyarországi helye</w:t>
            </w:r>
          </w:p>
        </w:tc>
        <w:tc>
          <w:tcPr>
            <w:tcW w:type="dxa" w:w="2515"/>
            <w:vAlign w:val="top"/>
          </w:tcPr>
          <w:p>
            <w:pPr>
              <w:pStyle w:val="TableText"/>
            </w:pPr>
            <w:r>
              <w:rPr>
                <w:b w:val="0"/>
              </w:rPr>
              <w:t xml:space="preserve">Iratáttekintési próba jelöltje; külön ellenőrizendő a felhő, modellútvonal, export és hozzáférés </w:t>
            </w:r>
            <w:hyperlink w:anchor="F34">
              <w:r>
                <w:rPr>
                  <w:color w:val="21618C"/>
                </w:rPr>
                <w:t>[F34, F35]</w:t>
              </w:r>
            </w:hyperlink>
          </w:p>
        </w:tc>
      </w:tr>
      <w:tr>
        <w:trPr>
          <w:cantSplit/>
        </w:trPr>
        <w:tc>
          <w:tcPr>
            <w:tcW w:type="dxa" w:w="1660"/>
            <w:vAlign w:val="top"/>
          </w:tcPr>
          <w:p>
            <w:pPr>
              <w:pStyle w:val="TableText"/>
            </w:pPr>
            <w:r>
              <w:rPr>
                <w:b w:val="0"/>
              </w:rPr>
              <w:t>Nuix Neo / Investigations</w:t>
            </w:r>
          </w:p>
        </w:tc>
        <w:tc>
          <w:tcPr>
            <w:tcW w:type="dxa" w:w="2670"/>
            <w:vAlign w:val="top"/>
          </w:tcPr>
          <w:p>
            <w:pPr>
              <w:pStyle w:val="TableText"/>
            </w:pPr>
            <w:r>
              <w:rPr>
                <w:b w:val="0"/>
              </w:rPr>
              <w:t>Sokféle digitális adat feldolgozása, keresése, személyek és kapcsolatok feltárása</w:t>
            </w:r>
          </w:p>
        </w:tc>
        <w:tc>
          <w:tcPr>
            <w:tcW w:type="dxa" w:w="2515"/>
            <w:vAlign w:val="top"/>
          </w:tcPr>
          <w:p>
            <w:pPr>
              <w:pStyle w:val="TableText"/>
            </w:pPr>
            <w:r>
              <w:rPr>
                <w:b w:val="0"/>
              </w:rPr>
              <w:t>Az összes modul azonos telepíthetősége; a gyártói esettanulmányok független mérés volta</w:t>
            </w:r>
          </w:p>
        </w:tc>
        <w:tc>
          <w:tcPr>
            <w:tcW w:type="dxa" w:w="2515"/>
            <w:vAlign w:val="top"/>
          </w:tcPr>
          <w:p>
            <w:pPr>
              <w:pStyle w:val="TableText"/>
            </w:pPr>
            <w:r>
              <w:rPr>
                <w:b w:val="0"/>
              </w:rPr>
              <w:t xml:space="preserve">Adatbeviteli és vizsgálati környezetként vizsgálandó, konkrét modulcsomaggal </w:t>
            </w:r>
            <w:hyperlink w:anchor="F36">
              <w:r>
                <w:rPr>
                  <w:color w:val="21618C"/>
                </w:rPr>
                <w:t>[F36]</w:t>
              </w:r>
            </w:hyperlink>
          </w:p>
        </w:tc>
      </w:tr>
      <w:tr>
        <w:trPr>
          <w:cantSplit/>
        </w:trPr>
        <w:tc>
          <w:tcPr>
            <w:tcW w:type="dxa" w:w="1660"/>
            <w:vAlign w:val="top"/>
          </w:tcPr>
          <w:p>
            <w:pPr>
              <w:pStyle w:val="TableText"/>
            </w:pPr>
            <w:r>
              <w:rPr>
                <w:b w:val="0"/>
              </w:rPr>
              <w:t>Cellebrite Pathfinder</w:t>
            </w:r>
          </w:p>
        </w:tc>
        <w:tc>
          <w:tcPr>
            <w:tcW w:type="dxa" w:w="2670"/>
            <w:vAlign w:val="top"/>
          </w:tcPr>
          <w:p>
            <w:pPr>
              <w:pStyle w:val="TableText"/>
            </w:pPr>
            <w:r>
              <w:rPr>
                <w:b w:val="0"/>
              </w:rPr>
              <w:t>Jogosan megszerzett eszközadatok összekapcsolása, idővonal, kommunikáció és multimédia elemzése</w:t>
            </w:r>
          </w:p>
        </w:tc>
        <w:tc>
          <w:tcPr>
            <w:tcW w:type="dxa" w:w="2515"/>
            <w:vAlign w:val="top"/>
          </w:tcPr>
          <w:p>
            <w:pPr>
              <w:pStyle w:val="TableText"/>
            </w:pPr>
            <w:r>
              <w:rPr>
                <w:b w:val="0"/>
              </w:rPr>
              <w:t>Hogy bármely titkosított eszköz hozzáférhető; hogy az elemzőtermék megszerzi az adatot is</w:t>
            </w:r>
          </w:p>
        </w:tc>
        <w:tc>
          <w:tcPr>
            <w:tcW w:type="dxa" w:w="2515"/>
            <w:vAlign w:val="top"/>
          </w:tcPr>
          <w:p>
            <w:pPr>
              <w:pStyle w:val="TableText"/>
            </w:pPr>
            <w:r>
              <w:rPr>
                <w:b w:val="0"/>
              </w:rPr>
              <w:t xml:space="preserve">Digitális nyomozati csapatnak jelölt; helyi és AWS VPC lehetőséget a gyártó közöl, konkrét konfigurációt ellenőrizni kell </w:t>
            </w:r>
            <w:hyperlink w:anchor="F37">
              <w:r>
                <w:rPr>
                  <w:color w:val="21618C"/>
                </w:rPr>
                <w:t>[F37, F38]</w:t>
              </w:r>
            </w:hyperlink>
          </w:p>
        </w:tc>
      </w:tr>
      <w:tr>
        <w:trPr>
          <w:cantSplit/>
        </w:trPr>
        <w:tc>
          <w:tcPr>
            <w:tcW w:type="dxa" w:w="1660"/>
            <w:vAlign w:val="top"/>
          </w:tcPr>
          <w:p>
            <w:pPr>
              <w:pStyle w:val="TableText"/>
            </w:pPr>
            <w:r>
              <w:rPr>
                <w:b w:val="0"/>
              </w:rPr>
              <w:t>Magnet AXIOM / Magnet AI, Copilot</w:t>
            </w:r>
          </w:p>
        </w:tc>
        <w:tc>
          <w:tcPr>
            <w:tcW w:type="dxa" w:w="2670"/>
            <w:vAlign w:val="top"/>
          </w:tcPr>
          <w:p>
            <w:pPr>
              <w:pStyle w:val="TableText"/>
            </w:pPr>
            <w:r>
              <w:rPr>
                <w:b w:val="0"/>
              </w:rPr>
              <w:t>Digitális nyomok elemzése, kommunikációs tartalom áttekintése; egyes funkciók offline használata</w:t>
            </w:r>
          </w:p>
        </w:tc>
        <w:tc>
          <w:tcPr>
            <w:tcW w:type="dxa" w:w="2515"/>
            <w:vAlign w:val="top"/>
          </w:tcPr>
          <w:p>
            <w:pPr>
              <w:pStyle w:val="TableText"/>
            </w:pPr>
            <w:r>
              <w:rPr>
                <w:b w:val="0"/>
              </w:rPr>
              <w:t>Teljes szerződéses-bizonyítási rendszer; minden funkció offline vagy magyar nyelven azonos minőségű</w:t>
            </w:r>
          </w:p>
        </w:tc>
        <w:tc>
          <w:tcPr>
            <w:tcW w:type="dxa" w:w="2515"/>
            <w:vAlign w:val="top"/>
          </w:tcPr>
          <w:p>
            <w:pPr>
              <w:pStyle w:val="TableText"/>
            </w:pPr>
            <w:r>
              <w:rPr>
                <w:b w:val="0"/>
              </w:rPr>
              <w:t xml:space="preserve">Eszközadatok feldolgozásánál értékelendő; a választott verziót és modult külön tesztelni kell </w:t>
            </w:r>
            <w:hyperlink w:anchor="F39">
              <w:r>
                <w:rPr>
                  <w:color w:val="21618C"/>
                </w:rPr>
                <w:t>[F39]</w:t>
              </w:r>
            </w:hyperlink>
          </w:p>
        </w:tc>
      </w:tr>
      <w:tr>
        <w:trPr>
          <w:cantSplit/>
        </w:trPr>
        <w:tc>
          <w:tcPr>
            <w:tcW w:type="dxa" w:w="1660"/>
            <w:vAlign w:val="top"/>
          </w:tcPr>
          <w:p>
            <w:pPr>
              <w:pStyle w:val="TableText"/>
            </w:pPr>
            <w:r>
              <w:rPr>
                <w:b w:val="0"/>
              </w:rPr>
              <w:t>Everlaw AI</w:t>
            </w:r>
          </w:p>
        </w:tc>
        <w:tc>
          <w:tcPr>
            <w:tcW w:type="dxa" w:w="2670"/>
            <w:vAlign w:val="top"/>
          </w:tcPr>
          <w:p>
            <w:pPr>
              <w:pStyle w:val="TableText"/>
            </w:pPr>
            <w:r>
              <w:rPr>
                <w:b w:val="0"/>
              </w:rPr>
              <w:t>Nagy iratanyag keresése, felülvizsgálata, forráshivatkozásos összefoglaló és iratvázlat</w:t>
            </w:r>
          </w:p>
        </w:tc>
        <w:tc>
          <w:tcPr>
            <w:tcW w:type="dxa" w:w="2515"/>
            <w:vAlign w:val="top"/>
          </w:tcPr>
          <w:p>
            <w:pPr>
              <w:pStyle w:val="TableText"/>
            </w:pPr>
            <w:r>
              <w:rPr>
                <w:b w:val="0"/>
              </w:rPr>
              <w:t>Magyar hatósági és adatvédelmi megfelelőség; a felhőhasználat automatikus elfogadhatósága</w:t>
            </w:r>
          </w:p>
        </w:tc>
        <w:tc>
          <w:tcPr>
            <w:tcW w:type="dxa" w:w="2515"/>
            <w:vAlign w:val="top"/>
          </w:tcPr>
          <w:p>
            <w:pPr>
              <w:pStyle w:val="TableText"/>
            </w:pPr>
            <w:r>
              <w:rPr>
                <w:b w:val="0"/>
              </w:rPr>
              <w:t xml:space="preserve">Alternatív iratáttekintési próba jelöltje, szerződéses és biztonsági ellenőrzéssel </w:t>
            </w:r>
            <w:hyperlink w:anchor="F40">
              <w:r>
                <w:rPr>
                  <w:color w:val="21618C"/>
                </w:rPr>
                <w:t>[F40]</w:t>
              </w:r>
            </w:hyperlink>
          </w:p>
        </w:tc>
      </w:tr>
      <w:tr>
        <w:trPr>
          <w:cantSplit/>
        </w:trPr>
        <w:tc>
          <w:tcPr>
            <w:tcW w:type="dxa" w:w="1660"/>
            <w:vAlign w:val="top"/>
          </w:tcPr>
          <w:p>
            <w:pPr>
              <w:pStyle w:val="TableText"/>
            </w:pPr>
            <w:r>
              <w:rPr>
                <w:b w:val="0"/>
              </w:rPr>
              <w:t>Wolters Kluwer Libra / Jogtár-tartalom</w:t>
            </w:r>
          </w:p>
        </w:tc>
        <w:tc>
          <w:tcPr>
            <w:tcW w:type="dxa" w:w="2670"/>
            <w:vAlign w:val="top"/>
          </w:tcPr>
          <w:p>
            <w:pPr>
              <w:pStyle w:val="TableText"/>
            </w:pPr>
            <w:r>
              <w:rPr>
                <w:b w:val="0"/>
              </w:rPr>
              <w:t>Magyar és uniós jogi kutatás, jogi dokumentumok feldolgozásának támogatása</w:t>
            </w:r>
          </w:p>
        </w:tc>
        <w:tc>
          <w:tcPr>
            <w:tcW w:type="dxa" w:w="2515"/>
            <w:vAlign w:val="top"/>
          </w:tcPr>
          <w:p>
            <w:pPr>
              <w:pStyle w:val="TableText"/>
            </w:pPr>
            <w:r>
              <w:rPr>
                <w:b w:val="0"/>
              </w:rPr>
              <w:t>Nyomozati bizonyítékraktár, forenzikus adatmentés vagy validált bűnügyi minősítő rendszer</w:t>
            </w:r>
          </w:p>
        </w:tc>
        <w:tc>
          <w:tcPr>
            <w:tcW w:type="dxa" w:w="2515"/>
            <w:vAlign w:val="top"/>
          </w:tcPr>
          <w:p>
            <w:pPr>
              <w:pStyle w:val="TableText"/>
            </w:pPr>
            <w:r>
              <w:rPr>
                <w:b w:val="0"/>
              </w:rPr>
              <w:t xml:space="preserve">Külön jogi kutatási rétegként vizsgálandó; a 2026-os magyar ajánlat és adatkezelés tisztázandó </w:t>
            </w:r>
            <w:hyperlink w:anchor="F41">
              <w:r>
                <w:rPr>
                  <w:color w:val="21618C"/>
                </w:rPr>
                <w:t>[F41]</w:t>
              </w:r>
            </w:hyperlink>
          </w:p>
        </w:tc>
      </w:tr>
    </w:tbl>
    <w:p>
      <w:pPr>
        <w:spacing w:after="80"/>
      </w:pPr>
    </w:p>
    <w:p>
      <w:pPr/>
      <w:r>
        <w:rPr>
          <w:b w:val="0"/>
        </w:rPr>
        <w:t xml:space="preserve">A táblázat </w:t>
      </w:r>
      <w:r>
        <w:rPr>
          <w:b/>
        </w:rPr>
        <w:t>előzetes piaci körkép, nem rangsor és nem beszerzési ajánlás egy konkrét gyártó mellett</w:t>
      </w:r>
      <w:r>
        <w:rPr>
          <w:b w:val="0"/>
        </w:rPr>
        <w:t>. A kutatás nem tartalmazott termékhozzáférést, magyar próbafeldolgozást, referencialátogatást vagy árajánlatot. A licenc, tárhely, feldolgozott adatmennyiség, felhasználó és AI-használat eltérő árazási tételek lehetnek. Publikus listaárból teljes hatósági költséget nem lehet megbízhatóan levezetni.</w:t>
      </w:r>
    </w:p>
    <w:p>
      <w:pPr/>
      <w:r>
        <w:rPr>
          <w:b w:val="0"/>
        </w:rPr>
        <w:t>Nem szükséges mind a hat rendszert megvenni. A digitális adatmentés, a nagy iratanyag áttekintése és a magyar jogi kutatás eltérő feladat. Az első körben egy meglévő vagy beszerezhető adatfeldolgozó környezet és legfeljebb két AI-megoldás összehasonlítása indokolt, azonos tesztanyagon.</w:t>
      </w:r>
    </w:p>
    <w:p>
      <w:pPr>
        <w:pStyle w:val="Heading2"/>
      </w:pPr>
      <w:r>
        <w:rPr>
          <w:b w:val="0"/>
        </w:rPr>
        <w:t>3.5. Mit célszerű készen venni, és mit sajátként kialakítani?</w:t>
      </w:r>
      <w:bookmarkStart w:id="47" w:name="chapter3-h24"/>
      <w:bookmarkEnd w:id="47"/>
    </w:p>
    <w:p>
      <w:pPr/>
      <w:r>
        <w:rPr>
          <w:b/>
        </w:rPr>
        <w:t>Készen használható vagy beszerezhető:</w:t>
      </w:r>
      <w:r>
        <w:rPr>
          <w:b w:val="0"/>
        </w:rPr>
        <w:t xml:space="preserve"> bevált fájl- és e-mail-feldolgozás; forenzikus munkafolyamat; jogosultságkezelt iratáttekintés; OCR és beszédfelismerés; jogi tartalomszolgáltatás. Ezeket saját fejlesztéssel újraépíteni rendszerint több idő, mint a magyar munkafolyamatot hozzájuk illeszteni. A „készen” itt nem jelenti azt, hogy ellenőrzés nélkül használhatók.</w:t>
      </w:r>
    </w:p>
    <w:p>
      <w:pPr/>
      <w:r>
        <w:rPr>
          <w:b/>
        </w:rPr>
        <w:t>Saját szakmai réteg:</w:t>
      </w:r>
      <w:r>
        <w:rPr>
          <w:b w:val="0"/>
        </w:rPr>
        <w:t xml:space="preserve"> magyar bizonyítási kártyák és tényállási mátrix; az NVVH és az eljáró szervek közötti feladat- és jogosultsági rend; belső adatkapcsolatok; magyar név-, összeg- és időállapotkezelés; forráshivatkozásos idővonal; hiánylista; minőségmérés; iratjegyzék- és vádirat-előkészítő export. A legfontosabb saját érték a szakmai adatmodell és ellenőrzési folyamat, nem feltétlenül egy saját nagy nyelvi modell.</w:t>
      </w:r>
    </w:p>
    <w:p>
      <w:pPr/>
      <w:r>
        <w:rPr>
          <w:b/>
        </w:rPr>
        <w:t>Saját modell tanítása csak második lépés.</w:t>
      </w:r>
      <w:r>
        <w:rPr>
          <w:b w:val="0"/>
        </w:rPr>
        <w:t xml:space="preserve"> Előbb ellenőrizni kell, hogy megfelelő kereséssel, szűk feladatokkal és ellenőrzött példákkal elérhető-e a cél. A tanítás új adatkezelési, visszafejtési, verziózási és tesztelési terhet hoz. Ügyiratokból automatikusan épülő, később más ügyekben is működő tanítóadatbázis nem lehet alapbeállítás.</w:t>
      </w:r>
    </w:p>
    <w:p>
      <w:pPr>
        <w:pStyle w:val="Heading3"/>
      </w:pPr>
      <w:r>
        <w:rPr>
          <w:b w:val="0"/>
        </w:rPr>
        <w:t>Javasolt technikai felépítés közérthetően</w:t>
      </w:r>
      <w:bookmarkStart w:id="48" w:name="chapter3-h28"/>
      <w:bookmarkEnd w:id="48"/>
    </w:p>
    <w:p>
      <w:pPr>
        <w:pStyle w:val="ListNumber"/>
        <w:numPr>
          <w:ilvl w:val="0"/>
          <w:numId w:val="17"/>
        </w:numPr>
      </w:pPr>
      <w:r>
        <w:rPr>
          <w:b/>
        </w:rPr>
        <w:t>Eredeti bizonyítékok tára.</w:t>
      </w:r>
      <w:r>
        <w:rPr>
          <w:b w:val="0"/>
        </w:rPr>
        <w:t xml:space="preserve"> Változatlan eredetik, átvételi jegyzék, hashértékek és dokumentált kezelési lánc. A hash az utólagos változást segít felismerni; önmagában nem bizonyítja az eredeti tartalom igazságát vagy jogszerű megszerzését.</w:t>
      </w:r>
    </w:p>
    <w:p>
      <w:pPr>
        <w:pStyle w:val="ListNumber"/>
        <w:numPr>
          <w:ilvl w:val="0"/>
          <w:numId w:val="17"/>
        </w:numPr>
      </w:pPr>
      <w:r>
        <w:rPr>
          <w:b/>
        </w:rPr>
        <w:t>Feldolgozott munkapéldány.</w:t>
      </w:r>
      <w:r>
        <w:rPr>
          <w:b w:val="0"/>
        </w:rPr>
        <w:t xml:space="preserve"> OCR-szöveg, leirat, táblázat és kinyert adatok, egyértelmű visszahivatkozással. A hibás vagy kihagyott állomány külön sorban maradjon látható.</w:t>
      </w:r>
    </w:p>
    <w:p>
      <w:pPr>
        <w:pStyle w:val="ListNumber"/>
        <w:numPr>
          <w:ilvl w:val="0"/>
          <w:numId w:val="17"/>
        </w:numPr>
      </w:pPr>
      <w:r>
        <w:rPr>
          <w:b/>
        </w:rPr>
        <w:t>Kereső és adatmodell.</w:t>
      </w:r>
      <w:r>
        <w:rPr>
          <w:b w:val="0"/>
        </w:rPr>
        <w:t xml:space="preserve"> Szó szerinti keresés a pontos nevekre és számokra; jelentésalapú keresés a körülírásokra; strukturált táblák a tranzakciókhoz és időállapotokhoz; kapcsolati háló az ellenőrzött kapcsolatokhoz.</w:t>
      </w:r>
    </w:p>
    <w:p>
      <w:pPr>
        <w:pStyle w:val="ListNumber"/>
        <w:numPr>
          <w:ilvl w:val="0"/>
          <w:numId w:val="17"/>
        </w:numPr>
      </w:pPr>
      <w:r>
        <w:rPr>
          <w:b/>
        </w:rPr>
        <w:t>Forrásokra támaszkodó AI.</w:t>
      </w:r>
      <w:r>
        <w:rPr>
          <w:b w:val="0"/>
        </w:rPr>
        <w:t xml:space="preserve"> A modell a jogosultan elérhető iratrészletekből dolgozik, és forrást jelöl. Ezt gyakran RAG-megoldásnak nevezik. Csökkentheti, de nem szünteti meg a téves állítást vagy hivatkozást.</w:t>
      </w:r>
    </w:p>
    <w:p>
      <w:pPr>
        <w:pStyle w:val="ListNumber"/>
        <w:numPr>
          <w:ilvl w:val="0"/>
          <w:numId w:val="17"/>
        </w:numPr>
      </w:pPr>
      <w:r>
        <w:rPr>
          <w:b/>
        </w:rPr>
        <w:t>Emberi felülvizsgálat.</w:t>
      </w:r>
      <w:r>
        <w:rPr>
          <w:b w:val="0"/>
        </w:rPr>
        <w:t xml:space="preserve"> Az elemző látja az eredetit, elutasíthatja a jelzést, mentő adatot kapcsolhat hozzá, és új feladatot adhat. Csak ellenőrzött állítás kerülhet a bizonyítási mátrix elfogadott részébe.</w:t>
      </w:r>
    </w:p>
    <w:p>
      <w:pPr>
        <w:pStyle w:val="ListNumber"/>
        <w:numPr>
          <w:ilvl w:val="0"/>
          <w:numId w:val="17"/>
        </w:numPr>
      </w:pPr>
      <w:r>
        <w:rPr>
          <w:b/>
        </w:rPr>
        <w:t>Ügyészi döntési és exportfelület.</w:t>
      </w:r>
      <w:r>
        <w:rPr>
          <w:b w:val="0"/>
        </w:rPr>
        <w:t xml:space="preserve"> Személyenként és cselekményenként mutatja a tényeket, bizonyítékokat, hiányokat, vitatott pontokat és irathozzáférési státuszt.</w:t>
      </w:r>
    </w:p>
    <w:p>
      <w:pPr/>
      <w:r>
        <w:rPr>
          <w:b w:val="0"/>
        </w:rPr>
        <w:t>A jogosultságot már a keresés előtt érvényesíteni kell. Ha a modell elolvashatja a tiltott iratot, majd csak az idézetet rejti el, az adat már kiszivároghat az összefoglalóban. Ugyanez a szabály vonatkozik a jelentésalapú indexre, gyorsítótárra, naplóra és exportra is.</w:t>
      </w:r>
    </w:p>
    <w:p>
      <w:pPr>
        <w:pStyle w:val="Heading2"/>
      </w:pPr>
      <w:r>
        <w:rPr>
          <w:b w:val="0"/>
        </w:rPr>
        <w:t>3.6. Milyen magyar adatforrásokat érdemes összekapcsolni?</w:t>
      </w:r>
      <w:bookmarkStart w:id="49" w:name="chapter3-h31"/>
      <w:bookmarkEnd w:id="49"/>
    </w:p>
    <w:tbl>
      <w:tblPr>
        <w:tblW w:type="dxa" w:w="9360"/>
        <w:jc w:val="left"/>
        <w:tblLayout w:type="fixed"/>
        <w:tblLook w:firstColumn="1" w:firstRow="1" w:lastColumn="0" w:lastRow="0" w:noHBand="0" w:noVBand="1" w:val="04A0"/>
        <w:tblInd w:type="dxa" w:w="120"/>
        <w:tblCellMar>
          <w:top w:w="80" w:type="dxa"/>
          <w:bottom w:w="80" w:type="dxa"/>
          <w:start w:w="120" w:type="dxa"/>
          <w:end w:w="120" w:type="dxa"/>
        </w:tblCellMar>
        <w:tblBorders>
          <w:top w:val="single" w:sz="4" w:color="D9E0E5"/>
          <w:left w:val="single" w:sz="4" w:color="D9E0E5"/>
          <w:bottom w:val="single" w:sz="4" w:color="D9E0E5"/>
          <w:right w:val="single" w:sz="4" w:color="D9E0E5"/>
          <w:insideH w:val="single" w:sz="4" w:color="D9E0E5"/>
          <w:insideV w:val="single" w:sz="4" w:color="D9E0E5"/>
        </w:tblBorders>
      </w:tblPr>
      <w:tblGrid>
        <w:gridCol w:w="2700"/>
        <w:gridCol w:w="3990"/>
        <w:gridCol w:w="2670"/>
      </w:tblGrid>
      <w:tr>
        <w:trPr>
          <w:tblHeader/>
          <w:cantSplit/>
        </w:trPr>
        <w:tc>
          <w:tcPr>
            <w:tcW w:type="dxa" w:w="2700"/>
            <w:vAlign w:val="top"/>
            <w:shd w:fill="F2F4F7"/>
          </w:tcPr>
          <w:p>
            <w:pPr>
              <w:pStyle w:val="TableText"/>
              <w:keepNext/>
            </w:pPr>
            <w:r>
              <w:rPr>
                <w:b/>
              </w:rPr>
              <w:t>Adatforrás</w:t>
            </w:r>
          </w:p>
        </w:tc>
        <w:tc>
          <w:tcPr>
            <w:tcW w:type="dxa" w:w="3990"/>
            <w:vAlign w:val="top"/>
            <w:shd w:fill="F2F4F7"/>
          </w:tcPr>
          <w:p>
            <w:pPr>
              <w:pStyle w:val="TableText"/>
              <w:keepNext/>
            </w:pPr>
            <w:r>
              <w:rPr>
                <w:b/>
              </w:rPr>
              <w:t>Mit adhat?</w:t>
            </w:r>
          </w:p>
        </w:tc>
        <w:tc>
          <w:tcPr>
            <w:tcW w:type="dxa" w:w="2670"/>
            <w:vAlign w:val="top"/>
            <w:shd w:fill="F2F4F7"/>
          </w:tcPr>
          <w:p>
            <w:pPr>
              <w:pStyle w:val="TableText"/>
              <w:keepNext/>
            </w:pPr>
            <w:r>
              <w:rPr>
                <w:b/>
              </w:rPr>
              <w:t>Hozzáférési vagy értelmezési korlát</w:t>
            </w:r>
          </w:p>
        </w:tc>
      </w:tr>
      <w:tr>
        <w:trPr>
          <w:cantSplit/>
        </w:trPr>
        <w:tc>
          <w:tcPr>
            <w:tcW w:type="dxa" w:w="2700"/>
            <w:vAlign w:val="top"/>
          </w:tcPr>
          <w:p>
            <w:pPr>
              <w:pStyle w:val="TableText"/>
            </w:pPr>
            <w:r>
              <w:rPr>
                <w:b w:val="0"/>
              </w:rPr>
              <w:t>EKR, TED, közbeszerzési hirdetmények</w:t>
            </w:r>
          </w:p>
        </w:tc>
        <w:tc>
          <w:tcPr>
            <w:tcW w:type="dxa" w:w="3990"/>
            <w:vAlign w:val="top"/>
          </w:tcPr>
          <w:p>
            <w:pPr>
              <w:pStyle w:val="TableText"/>
            </w:pPr>
            <w:r>
              <w:rPr>
                <w:b w:val="0"/>
              </w:rPr>
              <w:t>Eljárás, szereplők, dátum, tárgy, eredmény</w:t>
            </w:r>
          </w:p>
        </w:tc>
        <w:tc>
          <w:tcPr>
            <w:tcW w:type="dxa" w:w="2670"/>
            <w:vAlign w:val="top"/>
          </w:tcPr>
          <w:p>
            <w:pPr>
              <w:pStyle w:val="TableText"/>
            </w:pPr>
            <w:r>
              <w:rPr>
                <w:b w:val="0"/>
              </w:rPr>
              <w:t>A nyilvános adat nem azonos a teljes ajánlattal és a belső levelezéssel</w:t>
            </w:r>
          </w:p>
        </w:tc>
      </w:tr>
      <w:tr>
        <w:trPr>
          <w:cantSplit/>
        </w:trPr>
        <w:tc>
          <w:tcPr>
            <w:tcW w:type="dxa" w:w="2700"/>
            <w:vAlign w:val="top"/>
          </w:tcPr>
          <w:p>
            <w:pPr>
              <w:pStyle w:val="TableText"/>
            </w:pPr>
            <w:r>
              <w:rPr>
                <w:b w:val="0"/>
              </w:rPr>
              <w:t>CoRe és nyilvános szerződések</w:t>
            </w:r>
          </w:p>
        </w:tc>
        <w:tc>
          <w:tcPr>
            <w:tcW w:type="dxa" w:w="3990"/>
            <w:vAlign w:val="top"/>
          </w:tcPr>
          <w:p>
            <w:pPr>
              <w:pStyle w:val="TableText"/>
            </w:pPr>
            <w:r>
              <w:rPr>
                <w:b w:val="0"/>
              </w:rPr>
              <w:t>Szerződés, módosítás, teljesítéshez kapcsolódó közzététel</w:t>
            </w:r>
          </w:p>
        </w:tc>
        <w:tc>
          <w:tcPr>
            <w:tcW w:type="dxa" w:w="2670"/>
            <w:vAlign w:val="top"/>
          </w:tcPr>
          <w:p>
            <w:pPr>
              <w:pStyle w:val="TableText"/>
            </w:pPr>
            <w:r>
              <w:rPr>
                <w:b w:val="0"/>
              </w:rPr>
              <w:t xml:space="preserve">Lefedettséget, mellékletet, időállapotot és közzétételi hiányt ellenőrizni kell </w:t>
            </w:r>
            <w:hyperlink w:anchor="F43">
              <w:r>
                <w:rPr>
                  <w:color w:val="21618C"/>
                </w:rPr>
                <w:t>[F43]</w:t>
              </w:r>
            </w:hyperlink>
          </w:p>
        </w:tc>
      </w:tr>
      <w:tr>
        <w:trPr>
          <w:cantSplit/>
        </w:trPr>
        <w:tc>
          <w:tcPr>
            <w:tcW w:type="dxa" w:w="2700"/>
            <w:vAlign w:val="top"/>
          </w:tcPr>
          <w:p>
            <w:pPr>
              <w:pStyle w:val="TableText"/>
            </w:pPr>
            <w:r>
              <w:rPr>
                <w:b w:val="0"/>
              </w:rPr>
              <w:t>Cégnyilvántartás, beszámolók</w:t>
            </w:r>
          </w:p>
        </w:tc>
        <w:tc>
          <w:tcPr>
            <w:tcW w:type="dxa" w:w="3990"/>
            <w:vAlign w:val="top"/>
          </w:tcPr>
          <w:p>
            <w:pPr>
              <w:pStyle w:val="TableText"/>
            </w:pPr>
            <w:r>
              <w:rPr>
                <w:b w:val="0"/>
              </w:rPr>
              <w:t>Tulajdonosi és tisztségviselői változás, pénzügyi adatok</w:t>
            </w:r>
          </w:p>
        </w:tc>
        <w:tc>
          <w:tcPr>
            <w:tcW w:type="dxa" w:w="2670"/>
            <w:vAlign w:val="top"/>
          </w:tcPr>
          <w:p>
            <w:pPr>
              <w:pStyle w:val="TableText"/>
            </w:pPr>
            <w:r>
              <w:rPr>
                <w:b w:val="0"/>
              </w:rPr>
              <w:t>A jelenlegi állapot nem bizonyítja az elkövetéskori kapcsolatot; a beszámoló összesített</w:t>
            </w:r>
          </w:p>
        </w:tc>
      </w:tr>
      <w:tr>
        <w:trPr>
          <w:cantSplit/>
        </w:trPr>
        <w:tc>
          <w:tcPr>
            <w:tcW w:type="dxa" w:w="2700"/>
            <w:vAlign w:val="top"/>
          </w:tcPr>
          <w:p>
            <w:pPr>
              <w:pStyle w:val="TableText"/>
            </w:pPr>
            <w:r>
              <w:rPr>
                <w:b w:val="0"/>
              </w:rPr>
              <w:t>Tényleges tulajdonosi nyilvántartás</w:t>
            </w:r>
          </w:p>
        </w:tc>
        <w:tc>
          <w:tcPr>
            <w:tcW w:type="dxa" w:w="3990"/>
            <w:vAlign w:val="top"/>
          </w:tcPr>
          <w:p>
            <w:pPr>
              <w:pStyle w:val="TableText"/>
            </w:pPr>
            <w:r>
              <w:rPr>
                <w:b w:val="0"/>
              </w:rPr>
              <w:t>Tulajdonosi láncok vizsgálatának támpontja</w:t>
            </w:r>
          </w:p>
        </w:tc>
        <w:tc>
          <w:tcPr>
            <w:tcW w:type="dxa" w:w="2670"/>
            <w:vAlign w:val="top"/>
          </w:tcPr>
          <w:p>
            <w:pPr>
              <w:pStyle w:val="TableText"/>
            </w:pPr>
            <w:r>
              <w:rPr>
                <w:b w:val="0"/>
              </w:rPr>
              <w:t xml:space="preserve">Hozzáférés és felhasználási cél kötött; az adat minősége ellenőrzendő, nem kész bizonyíték </w:t>
            </w:r>
            <w:hyperlink w:anchor="F42">
              <w:r>
                <w:rPr>
                  <w:color w:val="21618C"/>
                </w:rPr>
                <w:t>[F42]</w:t>
              </w:r>
            </w:hyperlink>
          </w:p>
        </w:tc>
      </w:tr>
      <w:tr>
        <w:trPr>
          <w:cantSplit/>
        </w:trPr>
        <w:tc>
          <w:tcPr>
            <w:tcW w:type="dxa" w:w="2700"/>
            <w:vAlign w:val="top"/>
          </w:tcPr>
          <w:p>
            <w:pPr>
              <w:pStyle w:val="TableText"/>
            </w:pPr>
            <w:r>
              <w:rPr>
                <w:b w:val="0"/>
              </w:rPr>
              <w:t>Banki és számlavezetési adatok</w:t>
            </w:r>
          </w:p>
        </w:tc>
        <w:tc>
          <w:tcPr>
            <w:tcW w:type="dxa" w:w="3990"/>
            <w:vAlign w:val="top"/>
          </w:tcPr>
          <w:p>
            <w:pPr>
              <w:pStyle w:val="TableText"/>
            </w:pPr>
            <w:r>
              <w:rPr>
                <w:b w:val="0"/>
              </w:rPr>
              <w:t>Tényleges átutalás, kedvezményezett, időpont, további pénzút</w:t>
            </w:r>
          </w:p>
        </w:tc>
        <w:tc>
          <w:tcPr>
            <w:tcW w:type="dxa" w:w="2670"/>
            <w:vAlign w:val="top"/>
          </w:tcPr>
          <w:p>
            <w:pPr>
              <w:pStyle w:val="TableText"/>
            </w:pPr>
            <w:r>
              <w:rPr>
                <w:b w:val="0"/>
              </w:rPr>
              <w:t>Jogszerű megkeresés szükséges; egy számlaazonosító-nyilvántartás nem teljes tranzakciótörténet</w:t>
            </w:r>
          </w:p>
        </w:tc>
      </w:tr>
      <w:tr>
        <w:trPr>
          <w:cantSplit/>
        </w:trPr>
        <w:tc>
          <w:tcPr>
            <w:tcW w:type="dxa" w:w="2700"/>
            <w:vAlign w:val="top"/>
          </w:tcPr>
          <w:p>
            <w:pPr>
              <w:pStyle w:val="TableText"/>
            </w:pPr>
            <w:r>
              <w:rPr>
                <w:b w:val="0"/>
              </w:rPr>
              <w:t>Támogatáskezelő, MÁK, önkormányzat, állami vállalat</w:t>
            </w:r>
          </w:p>
        </w:tc>
        <w:tc>
          <w:tcPr>
            <w:tcW w:type="dxa" w:w="3990"/>
            <w:vAlign w:val="top"/>
          </w:tcPr>
          <w:p>
            <w:pPr>
              <w:pStyle w:val="TableText"/>
            </w:pPr>
            <w:r>
              <w:rPr>
                <w:b w:val="0"/>
              </w:rPr>
              <w:t>Jóváhagyás, kötelezettségvállalás, elszámolás, utalványozás</w:t>
            </w:r>
          </w:p>
        </w:tc>
        <w:tc>
          <w:tcPr>
            <w:tcW w:type="dxa" w:w="2670"/>
            <w:vAlign w:val="top"/>
          </w:tcPr>
          <w:p>
            <w:pPr>
              <w:pStyle w:val="TableText"/>
            </w:pPr>
            <w:r>
              <w:rPr>
                <w:b w:val="0"/>
              </w:rPr>
              <w:t>Intézményi hozzáférés, adatátadási jogalap és teljességi ellenőrzés szükséges</w:t>
            </w:r>
          </w:p>
        </w:tc>
      </w:tr>
      <w:tr>
        <w:trPr>
          <w:cantSplit/>
        </w:trPr>
        <w:tc>
          <w:tcPr>
            <w:tcW w:type="dxa" w:w="2700"/>
            <w:vAlign w:val="top"/>
          </w:tcPr>
          <w:p>
            <w:pPr>
              <w:pStyle w:val="TableText"/>
            </w:pPr>
            <w:r>
              <w:rPr>
                <w:b w:val="0"/>
              </w:rPr>
              <w:t>Belső iratkezelő, ERP, levelezés, eszközadat</w:t>
            </w:r>
          </w:p>
        </w:tc>
        <w:tc>
          <w:tcPr>
            <w:tcW w:type="dxa" w:w="3990"/>
            <w:vAlign w:val="top"/>
          </w:tcPr>
          <w:p>
            <w:pPr>
              <w:pStyle w:val="TableText"/>
            </w:pPr>
            <w:r>
              <w:rPr>
                <w:b w:val="0"/>
              </w:rPr>
              <w:t>Döntés és végrehajtás részletes története</w:t>
            </w:r>
          </w:p>
        </w:tc>
        <w:tc>
          <w:tcPr>
            <w:tcW w:type="dxa" w:w="2670"/>
            <w:vAlign w:val="top"/>
          </w:tcPr>
          <w:p>
            <w:pPr>
              <w:pStyle w:val="TableText"/>
            </w:pPr>
            <w:r>
              <w:rPr>
                <w:b w:val="0"/>
              </w:rPr>
              <w:t>Célhoz kötött beszerzés; védett kommunikáció, személyes és minősített adatok elkülönítése</w:t>
            </w:r>
          </w:p>
        </w:tc>
      </w:tr>
      <w:tr>
        <w:trPr>
          <w:cantSplit/>
        </w:trPr>
        <w:tc>
          <w:tcPr>
            <w:tcW w:type="dxa" w:w="2700"/>
            <w:vAlign w:val="top"/>
          </w:tcPr>
          <w:p>
            <w:pPr>
              <w:pStyle w:val="TableText"/>
            </w:pPr>
            <w:r>
              <w:rPr>
                <w:b w:val="0"/>
              </w:rPr>
              <w:t>Kúria, bírósági határozatok, Jogtár/NJT</w:t>
            </w:r>
          </w:p>
        </w:tc>
        <w:tc>
          <w:tcPr>
            <w:tcW w:type="dxa" w:w="3990"/>
            <w:vAlign w:val="top"/>
          </w:tcPr>
          <w:p>
            <w:pPr>
              <w:pStyle w:val="TableText"/>
            </w:pPr>
            <w:r>
              <w:rPr>
                <w:b w:val="0"/>
              </w:rPr>
              <w:t>Jogi minősítés és értelmezés</w:t>
            </w:r>
          </w:p>
        </w:tc>
        <w:tc>
          <w:tcPr>
            <w:tcW w:type="dxa" w:w="2670"/>
            <w:vAlign w:val="top"/>
          </w:tcPr>
          <w:p>
            <w:pPr>
              <w:pStyle w:val="TableText"/>
            </w:pPr>
            <w:r>
              <w:rPr>
                <w:b w:val="0"/>
              </w:rPr>
              <w:t>Teljes döntés, történeti jogállapot, licenc és újrafelhasználás ellenőrzése</w:t>
            </w:r>
          </w:p>
        </w:tc>
      </w:tr>
    </w:tbl>
    <w:p>
      <w:pPr>
        <w:spacing w:after="80"/>
      </w:pPr>
    </w:p>
    <w:p>
      <w:pPr/>
      <w:r>
        <w:rPr>
          <w:b w:val="0"/>
        </w:rPr>
        <w:t>Nem célszerű a teljes állami adatvagyont előre egyetlen AI-adatbázisba önteni. Előbb ügyhöz vagy megfelelően meghatározott vizsgálati célhoz kötött kapcsolatok kellenek. A hozzáférhető nyilvános adatok tömeges összekapcsolása is járhat adatvédelmi kötelezettséggel; nyilvánosság és korlátlan másodlagos felhasználhatóság nem ugyanaz.</w:t>
      </w:r>
    </w:p>
    <w:p>
      <w:pPr>
        <w:pStyle w:val="Heading2"/>
      </w:pPr>
      <w:r>
        <w:rPr>
          <w:b w:val="0"/>
        </w:rPr>
        <w:t>3.7. Jogi és biztonsági feltételek</w:t>
      </w:r>
      <w:bookmarkStart w:id="50" w:name="chapter3-h34"/>
      <w:bookmarkEnd w:id="50"/>
    </w:p>
    <w:p>
      <w:pPr>
        <w:pStyle w:val="Heading3"/>
      </w:pPr>
      <w:r>
        <w:rPr>
          <w:b w:val="0"/>
        </w:rPr>
        <w:t>Adatvédelem: nem elegendő egy általános GDPR-nyilatkozat</w:t>
      </w:r>
      <w:bookmarkStart w:id="51" w:name="chapter3-h35"/>
      <w:bookmarkEnd w:id="51"/>
    </w:p>
    <w:p>
      <w:pPr/>
      <w:r>
        <w:rPr>
          <w:b w:val="0"/>
        </w:rPr>
        <w:t xml:space="preserve">Az illetékes hatóság bűnüldözési célú személyesadat-kezelésénél a 2016/680 irányelv, a magyar Infotv. és az ágazati eljárási szabályok összefüggését kell vizsgálni. A GDPR nem egyszerűen minden ügyiratkezelés alapértelmezett jogalapja. Más célú tevékenységeknél és a szolgáltató saját adatkezeléseinél eltérő szabályok lehetnek relevánsak. </w:t>
      </w:r>
      <w:hyperlink w:anchor="F28">
        <w:r>
          <w:rPr>
            <w:color w:val="21618C"/>
          </w:rPr>
          <w:t>[F28, F29]</w:t>
        </w:r>
      </w:hyperlink>
    </w:p>
    <w:p>
      <w:pPr/>
      <w:r>
        <w:rPr>
          <w:b w:val="0"/>
        </w:rPr>
        <w:t>Bevezetés előtt adatfolyamonként kell rögzíteni a célt, jogalapot, adatkezelőt, adatfeldolgozót, hozzáférőket, megőrzést és esetleges harmadik országbeli adatmozgást. A szükségesség és arányosság, az érzékeny adatok, a tény és vélemény elkülönítése, valamint az érintetti jogokra vonatkozó különös szabályok nem oldhatók meg egy „titkosított” jelöléssel.</w:t>
      </w:r>
    </w:p>
    <w:p>
      <w:pPr>
        <w:pStyle w:val="Heading3"/>
      </w:pPr>
      <w:r>
        <w:rPr>
          <w:b w:val="0"/>
        </w:rPr>
        <w:t>AI Act: funkció szerinti besorolás és a 2026-os módosítás</w:t>
      </w:r>
      <w:bookmarkStart w:id="52" w:name="chapter3-h38"/>
      <w:bookmarkEnd w:id="52"/>
    </w:p>
    <w:p>
      <w:pPr/>
      <w:r>
        <w:rPr>
          <w:b w:val="0"/>
        </w:rPr>
        <w:t xml:space="preserve">A bizonyítékok megbízhatóságát bűnüldözésben értékelő AI az AI-rendelet III. mellékletének 6. pontja alapján nagy kockázatú körbe kerülhet. További érintett kategória lehet a bűnüldözési profilalkotás, illetve az igazságszolgáltatás tény- és jogértékelésének támogatása. Egyszerű OCR vagy kereső nem automatikusan ugyanez a kategória: a rendeltetés és a döntésre gyakorolt tényleges hatás számít. Az, hogy egy ügyész végül rákattint a jóváhagyásra, önmagában nem szünteti meg a besorolást. </w:t>
      </w:r>
      <w:hyperlink w:anchor="F30">
        <w:r>
          <w:rPr>
            <w:color w:val="21618C"/>
          </w:rPr>
          <w:t>[F30]</w:t>
        </w:r>
      </w:hyperlink>
    </w:p>
    <w:p>
      <w:pPr/>
      <w:r>
        <w:rPr>
          <w:b/>
        </w:rPr>
        <w:t>A dátumoknál már figyelembe kell venni az (EU) 2026/1744 módosítást.</w:t>
      </w:r>
      <w:r>
        <w:rPr>
          <w:b w:val="0"/>
        </w:rPr>
        <w:t xml:space="preserve"> A III. mellékletes rendszerekre a III. fejezet 1–3. szakaszának fő alkalmazási időpontja – a 6. cikk (5) bekezdése kivételével – 2027. december 2.; az I. mellékletes termékeknél 2028. augusztus 2. A korábbi, általánosan 2026. augusztus 2-át idéző útmutató ezért nem elegendő. Más rendelkezések, különösen tilalmak, már alkalmazandók lehetnek; a halasztás nem adatvédelmi vagy büntetőeljárási mentesség. </w:t>
      </w:r>
      <w:hyperlink w:anchor="F31">
        <w:r>
          <w:rPr>
            <w:color w:val="21618C"/>
          </w:rPr>
          <w:t>[F31, F32]</w:t>
        </w:r>
      </w:hyperlink>
    </w:p>
    <w:p>
      <w:pPr/>
      <w:r>
        <w:rPr>
          <w:b w:val="0"/>
        </w:rPr>
        <w:t xml:space="preserve">A kockázatkezelést, dokumentációt, naplózást, emberi felügyeletet, megfelelőségértékelést és hatósági használatnál az alapjogi hatásvizsgálatot a tervezésbe kell építeni, a konkrét kötelezettség és határidő jogi ellenőrzésével. Saját néven üzembe helyezés vagy érdemi módosítás szolgáltatói kötelezettségeket is keletkeztethet. A beszerzés nem ruházza át automatikusan a hatóság összes felelősségét a gyártóra. </w:t>
      </w:r>
      <w:hyperlink w:anchor="F30">
        <w:r>
          <w:rPr>
            <w:color w:val="21618C"/>
          </w:rPr>
          <w:t>[F30, F31]</w:t>
        </w:r>
      </w:hyperlink>
    </w:p>
    <w:p>
      <w:pPr/>
      <w:r>
        <w:rPr>
          <w:b w:val="0"/>
        </w:rPr>
        <w:t xml:space="preserve">A 2026-ban módosított AI-műveltségi rendelkezés a munkatársak felkészültségének fejlesztését támogató intézkedéseket kíván meg; nem egyetlen kötelező vizsgapontszámot garantáltat. Az oktatásnak ki kell terjednie a forrásellenőrzésre, hibákra, mentő adatok keresésére és az automatizált eredmény túlértékelésére. </w:t>
      </w:r>
      <w:hyperlink w:anchor="F31">
        <w:r>
          <w:rPr>
            <w:color w:val="21618C"/>
          </w:rPr>
          <w:t>[F31]</w:t>
        </w:r>
      </w:hyperlink>
    </w:p>
    <w:p>
      <w:pPr>
        <w:pStyle w:val="Heading3"/>
      </w:pPr>
      <w:r>
        <w:rPr>
          <w:b w:val="0"/>
        </w:rPr>
        <w:t>Amit a projektből ki kell zárni</w:t>
      </w:r>
      <w:bookmarkStart w:id="53" w:name="chapter3-h43"/>
      <w:bookmarkEnd w:id="53"/>
    </w:p>
    <w:p>
      <w:pPr>
        <w:pStyle w:val="ListBullet"/>
        <w:numPr>
          <w:ilvl w:val="0"/>
          <w:numId w:val="18"/>
        </w:numPr>
      </w:pPr>
      <w:r>
        <w:rPr>
          <w:b w:val="0"/>
        </w:rPr>
        <w:t xml:space="preserve">Politikai hovatartozásból, személyiségjegyből vagy puszta kapcsolati közelségből képzett bűnösségi vagy elkövetési hajlam-pontszám. A kizárólag profilalkotásra vagy személyiségjegyekre épülő bűnelkövetési kockázatbecslésre az AI Act külön tilalmat tartalmaz. </w:t>
      </w:r>
      <w:hyperlink w:anchor="F30">
        <w:r>
          <w:rPr>
            <w:color w:val="21618C"/>
          </w:rPr>
          <w:t>[F30]</w:t>
        </w:r>
      </w:hyperlink>
    </w:p>
    <w:p>
      <w:pPr>
        <w:pStyle w:val="ListBullet"/>
        <w:numPr>
          <w:ilvl w:val="0"/>
          <w:numId w:val="18"/>
        </w:numPr>
      </w:pPr>
      <w:r>
        <w:rPr>
          <w:b w:val="0"/>
        </w:rPr>
        <w:t>Automatikus gyanúsítás, vádemelés, kényszerintézkedés vagy bizonyítékselejtezés.</w:t>
      </w:r>
    </w:p>
    <w:p>
      <w:pPr>
        <w:pStyle w:val="ListBullet"/>
        <w:numPr>
          <w:ilvl w:val="0"/>
          <w:numId w:val="18"/>
        </w:numPr>
      </w:pPr>
      <w:r>
        <w:rPr>
          <w:b w:val="0"/>
        </w:rPr>
        <w:t>Érzelem-, arckifejezés- vagy hangalapú „hazugságvizsgáló” beépítése a bizonyítékértékelésbe.</w:t>
      </w:r>
    </w:p>
    <w:p>
      <w:pPr>
        <w:pStyle w:val="ListBullet"/>
        <w:numPr>
          <w:ilvl w:val="0"/>
          <w:numId w:val="18"/>
        </w:numPr>
      </w:pPr>
      <w:r>
        <w:rPr>
          <w:b w:val="0"/>
        </w:rPr>
        <w:t>Hiányzó mondat, melléklet, hangrészlet vagy tény generatív pótlása. Zajcsökkentett hang és képfeljavítás is külön származtatott változat, nem eredeti bizonyíték.</w:t>
      </w:r>
    </w:p>
    <w:p>
      <w:pPr>
        <w:pStyle w:val="ListBullet"/>
        <w:numPr>
          <w:ilvl w:val="0"/>
          <w:numId w:val="18"/>
        </w:numPr>
      </w:pPr>
      <w:r>
        <w:rPr>
          <w:b w:val="0"/>
        </w:rPr>
        <w:t>Ügyirat feltöltése általános fogyasztói chatbotba pusztán azért, mert a felület jelszavas.</w:t>
      </w:r>
    </w:p>
    <w:p>
      <w:pPr>
        <w:pStyle w:val="Heading3"/>
      </w:pPr>
      <w:r>
        <w:rPr>
          <w:b w:val="0"/>
        </w:rPr>
        <w:t>Bizonyíthatóság, védelem és informatikai védelem</w:t>
      </w:r>
      <w:bookmarkStart w:id="54" w:name="chapter3-h45"/>
      <w:bookmarkEnd w:id="54"/>
    </w:p>
    <w:p>
      <w:pPr/>
      <w:r>
        <w:rPr>
          <w:b/>
        </w:rPr>
        <w:t>Eredet és reprodukálhatóság:</w:t>
      </w:r>
      <w:r>
        <w:rPr>
          <w:b w:val="0"/>
        </w:rPr>
        <w:t xml:space="preserve"> naplózni kell, mit vett át a rendszer, miből mit hagyott ki, melyik feldolgozásból született a leirat vagy találat, ki változtatta meg a címkét. A modell új verziója nem írhatja felül az előző eredményt és ellenőrzési történetet.</w:t>
      </w:r>
    </w:p>
    <w:p>
      <w:pPr/>
      <w:r>
        <w:rPr>
          <w:b/>
        </w:rPr>
        <w:t>Védett kommunikáció:</w:t>
      </w:r>
      <w:r>
        <w:rPr>
          <w:b w:val="0"/>
        </w:rPr>
        <w:t xml:space="preserve"> ügyvédi és más törvényileg védett adat, minősített adat, tanúvédelmi információ és szükségtelen különleges adat elkülönítési rendje már a bevitel előtt szükséges. A gépi szűrés segíthet, de nem elég önmagában. Téves besorolásnál karantén, jogosultsági felülvizsgálat és dokumentált döntés kell; nem automatikus törlés.</w:t>
      </w:r>
    </w:p>
    <w:p>
      <w:pPr/>
      <w:r>
        <w:rPr>
          <w:b/>
        </w:rPr>
        <w:t>Védelem számára ellenőrizhető anyag:</w:t>
      </w:r>
      <w:r>
        <w:rPr>
          <w:b w:val="0"/>
        </w:rPr>
        <w:t xml:space="preserve"> a Be. iratmegismerési és bizonyítási szabályainak megfelelően meg kell tervezni az eredetik, a felhasznált kivonatok és a releváns feldolgozási információk hozzáférését. Nem állítható általánosan, hogy mindig a teljes modell forráskódját át kell adni, de a „titkos algoritmus találta” nem pótolhatja a tényállítást alátámasztó ellenőrizhető bizonyítékot. </w:t>
      </w:r>
      <w:hyperlink w:anchor="F04">
        <w:r>
          <w:rPr>
            <w:color w:val="21618C"/>
          </w:rPr>
          <w:t>[F04, F15]</w:t>
        </w:r>
      </w:hyperlink>
    </w:p>
    <w:p>
      <w:pPr/>
      <w:r>
        <w:rPr>
          <w:b/>
        </w:rPr>
        <w:t>Rosszindulatú irattartalom:</w:t>
      </w:r>
      <w:r>
        <w:rPr>
          <w:b w:val="0"/>
        </w:rPr>
        <w:t xml:space="preserve"> egy e-mail szövege utasíthatja a modellt adatok kiszivárogtatására vagy találatok elrejtésére. Az ilyen tartalom bizonyítékként kezelendő, nem végrehajtható utasításként. A feldolgozó modell alaphelyzetben ne kapjon szabad internetes hozzáférést, üzenetküldést, fájltörlési jogot vagy külső eszközök önálló vezérlését.</w:t>
      </w:r>
    </w:p>
    <w:p>
      <w:pPr/>
      <w:r>
        <w:rPr>
          <w:b/>
        </w:rPr>
        <w:t>Felhő és helyi üzem:</w:t>
      </w:r>
      <w:r>
        <w:rPr>
          <w:b w:val="0"/>
        </w:rPr>
        <w:t xml:space="preserve"> mindkettő lehet kockázatos vagy megfelelően kialakított. Felhőnél külön vizsgálandó a tényleges adatfeldolgozási hely, a modellhívás, alvállalkozó, támogatói hozzáférés, napló, mentés és adattovábbítás. Helyi üzemnél a frissítés, sérülékenység, adminisztrátori hozzáférés, mentés és modelllicenc. Az EU-régió vagy az offline címke önmagában nem megfelelőségi tanúsítvány.</w:t>
      </w:r>
    </w:p>
    <w:p>
      <w:pPr>
        <w:pStyle w:val="Heading2"/>
      </w:pPr>
      <w:r>
        <w:rPr>
          <w:b w:val="0"/>
        </w:rPr>
        <w:t>3.8. Javasolt használati szabály egy mondatban</w:t>
      </w:r>
      <w:bookmarkStart w:id="55" w:name="chapter3-h51"/>
      <w:bookmarkEnd w:id="55"/>
    </w:p>
    <w:p>
      <w:pPr/>
      <w:r>
        <w:rPr>
          <w:b/>
        </w:rPr>
        <w:t>Az AI ellenőrzendő állításokat és kapcsolódó eredeti forrásokat ajánlhat; joghátránnyal járó döntést nem hozhat, a bizonyítási hiányt nem fedheti el, és a mentő adatot ugyanúgy felszínre kell segítenie, mint a terhelőt.</w:t>
      </w:r>
    </w:p>
    <w:p>
      <w:r>
        <w:br w:type="page"/>
      </w:r>
    </w:p>
    <w:p>
      <w:pPr>
        <w:pStyle w:val="Heading1"/>
      </w:pPr>
      <w:r>
        <w:rPr>
          <w:b w:val="0"/>
        </w:rPr>
        <w:t>4. Bevezetés, mérés és döntési terv</w:t>
      </w:r>
      <w:bookmarkStart w:id="56" w:name="chapter4"/>
      <w:bookmarkEnd w:id="56"/>
    </w:p>
    <w:p>
      <w:pPr/>
      <w:r>
        <w:rPr>
          <w:b/>
        </w:rPr>
        <w:t>Az alábbiak projektjavaslatok és tervezési feltételezések, nem meglévő hivatali működés leírásai.</w:t>
      </w:r>
    </w:p>
    <w:p>
      <w:pPr>
        <w:pStyle w:val="Heading2"/>
      </w:pPr>
      <w:r>
        <w:rPr>
          <w:b w:val="0"/>
        </w:rPr>
        <w:t>4.1. Mitől lesz gyorsabb a teljes folyamat?</w:t>
      </w:r>
      <w:bookmarkStart w:id="57" w:name="chapter4-h2"/>
      <w:bookmarkEnd w:id="57"/>
    </w:p>
    <w:p>
      <w:pPr/>
      <w:r>
        <w:rPr>
          <w:b w:val="0"/>
        </w:rPr>
        <w:t>Az eszközbeszerzést öt szervezési változásnak kell kísérnie. Ezek jelentős része AI nélkül is hasznos.</w:t>
      </w:r>
    </w:p>
    <w:p>
      <w:pPr/>
      <w:r>
        <w:rPr>
          <w:b/>
        </w:rPr>
        <w:t>Ügyenként egy bizonyítási terv és egy felelős.</w:t>
      </w:r>
      <w:r>
        <w:rPr>
          <w:b w:val="0"/>
        </w:rPr>
        <w:t xml:space="preserve"> Az ügyész, nyomozó, pénzügyi elemző és digitális szakember ugyanazt a cselekmény–személy–bizonyíték mátrixot használja. A rendszer minden feladathoz kérdést, felelőst, határidőt és elkészült kimenetet rendeljen. A jogszabály szerinti hatáskör és független döntési jog változatlan marad.</w:t>
      </w:r>
    </w:p>
    <w:p>
      <w:pPr/>
      <w:r>
        <w:rPr>
          <w:b/>
        </w:rPr>
        <w:t>A várakozást korán kell elindítani.</w:t>
      </w:r>
      <w:r>
        <w:rPr>
          <w:b w:val="0"/>
        </w:rPr>
        <w:t xml:space="preserve"> Az elévülési, adatmegőrzési és vagyonkimentési kockázat ellenőrzése után a szükséges külföldi adatot és szakértői kapacitást már az első hetekben meg kell célozni, ha a bizonyítási terv indokolja. Nem kell megvárni az összes e-mail végigolvasását. A megkereséshez ugyanakkor elég pontos ténykérdés és jogalap szükséges.</w:t>
      </w:r>
    </w:p>
    <w:p>
      <w:pPr/>
      <w:r>
        <w:rPr>
          <w:b/>
        </w:rPr>
        <w:t>Egyetlen ellenőrzött adatbevitel, több szakmai felhasználás.</w:t>
      </w:r>
      <w:r>
        <w:rPr>
          <w:b w:val="0"/>
        </w:rPr>
        <w:t xml:space="preserve"> Ugyanazt a szerződést ne öt ember OCR-ezze, nevezze át és foglalja össze egymástól függetlenül. Az áttekintési címkék, bizonytalanságok és hivatkozások megoszthatók az ügyön belüli jogosultságok szerint. A nyomozó saját jegyzete és a bizonyíték eredetije külön maradjon.</w:t>
      </w:r>
    </w:p>
    <w:p>
      <w:pPr/>
      <w:r>
        <w:rPr>
          <w:b/>
        </w:rPr>
        <w:t>Kéthetenként bizonyítási hiányvizsgálat.</w:t>
      </w:r>
      <w:r>
        <w:rPr>
          <w:b w:val="0"/>
        </w:rPr>
        <w:t xml:space="preserve"> Melyik tényállási elemhez nincs adat? Mi cáfolhatja a jelenlegi feltevést? Melyik beszerzés áll? Melyik szakértői kérdés pontatlan? A jól működő AI-rendszer ennek előkészítését rövidíti le.</w:t>
      </w:r>
    </w:p>
    <w:p>
      <w:pPr/>
      <w:r>
        <w:rPr>
          <w:b/>
        </w:rPr>
        <w:t>Tudatos ügyterjedelem.</w:t>
      </w:r>
      <w:r>
        <w:rPr>
          <w:b w:val="0"/>
        </w:rPr>
        <w:t xml:space="preserve"> Nagy ügyekben vizsgálandó a jogszerű elkülönítés és az önállóan bizonyítható cselekmények kezelése. Nem célszerű a már tisztázott, elkülöníthető részt szükségtelenül a legtávolabbi külföldi pénzút végéhez kötni. Ugyanakkor az összefüggések szétdarabolása, a védelem megnehezítése vagy a kétszeres értékelés elfogadhatatlan. Erről az eljáró jogász dönt, nem a projektvezető.</w:t>
      </w:r>
    </w:p>
    <w:p>
      <w:pPr>
        <w:pStyle w:val="Heading3"/>
      </w:pPr>
      <w:r>
        <w:rPr>
          <w:b w:val="0"/>
        </w:rPr>
        <w:t>Az együttműködés eljárási lehetőségeit is értékelni kell</w:t>
      </w:r>
      <w:bookmarkStart w:id="58" w:name="chapter4-h9"/>
      <w:bookmarkEnd w:id="58"/>
    </w:p>
    <w:p>
      <w:pPr/>
      <w:r>
        <w:rPr>
          <w:b w:val="0"/>
        </w:rPr>
        <w:t xml:space="preserve">Az AI-n kívüli gyorsítás része lehet a Be. 407–411. § szerinti, vádemelés előtti egyezség a bűnösség beismeréséről. Ez ügyészi mérlegelést, önkéntes terhelti döntést, kötelező védői részvételt és később bírói ellenőrzést igényel. A tényállás és jogi minősítés nem alku tárgya; a terhelt által szolgáltatott bizonyíték ugyanakkor a törvényi keretek között beépülhet a tényállás megállapításába. Sikertelen egyeztetésnél a keletkezett anyag felhasználását korlátozó szabályokat különösen gondosan kell kezelni. </w:t>
      </w:r>
      <w:hyperlink w:anchor="F15">
        <w:r>
          <w:rPr>
            <w:color w:val="21618C"/>
          </w:rPr>
          <w:t>[F15]</w:t>
        </w:r>
      </w:hyperlink>
    </w:p>
    <w:p>
      <w:pPr/>
      <w:r>
        <w:rPr>
          <w:b w:val="0"/>
        </w:rPr>
        <w:t>Egy együttműködő szereplő vallomása megnyithat új bizonyítási utat, de az érdekeltségét és állításainak ellenőrizhetőségét is vizsgálni kell. Az AI az iratokkal való összevetést segítheti; nem választhatja ki, kinek milyen kedvezményt ajánljanak. A versenyjogi engedékenység és a büntetőeljárási kedvezmény külön jogintézmény, ezért az egyikből nem szabad automatikusan büntetlenséget ígérni a másikban.</w:t>
      </w:r>
    </w:p>
    <w:p>
      <w:pPr>
        <w:pStyle w:val="Heading3"/>
      </w:pPr>
      <w:r>
        <w:rPr>
          <w:b w:val="0"/>
        </w:rPr>
        <w:t>Ügypriorizálás: mi kerüljön előre?</w:t>
      </w:r>
      <w:bookmarkStart w:id="59" w:name="chapter4-h12"/>
      <w:bookmarkEnd w:id="59"/>
    </w:p>
    <w:p>
      <w:pPr/>
      <w:r>
        <w:rPr>
          <w:b w:val="0"/>
        </w:rPr>
        <w:t>A sorrend szakmai ismérvekre épüljön: elévülés és adatvesztés közelsége; folyamatban lévő károkozás; vagyon megőrizhetősége; konkrét és beszerezhető bizonyíték; súly és közérdek; nemzetközi vagy szakértői függőség. A politikai hovatartozás, médiavisszhang vagy könnyen elérhető vádszám nem helyettesíti ezeket.</w:t>
      </w:r>
    </w:p>
    <w:p>
      <w:pPr/>
      <w:r>
        <w:rPr>
          <w:b w:val="0"/>
        </w:rPr>
        <w:t>A portfólióban külön nézet kell az azonnali vagyonvédelmi intézkedésre, a gyorsan tisztázható ügyre és a hosszabb, összetett bizonyításra. Egy nehezebb ügy alacsonyabb AI-relevancia-pontszáma nem indok a mellőzésére. A megszüntetés is lehet helyes szakmai eredmény, ha az alapos vizsgálat nem igazolja a gyanút.</w:t>
      </w:r>
    </w:p>
    <w:p>
      <w:pPr>
        <w:pStyle w:val="Heading2"/>
      </w:pPr>
      <w:r>
        <w:rPr>
          <w:b w:val="0"/>
        </w:rPr>
        <w:t>4.2. Az első 90 napos próba</w:t>
      </w:r>
      <w:bookmarkStart w:id="60" w:name="chapter4-h15"/>
      <w:bookmarkEnd w:id="60"/>
    </w:p>
    <w:p>
      <w:pPr/>
      <w:r>
        <w:rPr>
          <w:b w:val="0"/>
        </w:rPr>
        <w:t xml:space="preserve">A kilencven nap </w:t>
      </w:r>
      <w:r>
        <w:rPr>
          <w:b/>
        </w:rPr>
        <w:t>az előfeltételek biztosításától számított kipróbálási idő</w:t>
      </w:r>
      <w:r>
        <w:rPr>
          <w:b w:val="0"/>
        </w:rPr>
        <w:t>, nem az új hivatal informatikájának teljes beszerzési és bevezetési határideje, és nem vádemelési ígéret. Közbeszerzés, biztonsági engedélyezés vagy adatátadás önállóan meghosszabbíthatja az indulást.</w:t>
      </w:r>
    </w:p>
    <w:p>
      <w:pPr>
        <w:pStyle w:val="Heading3"/>
      </w:pPr>
      <w:r>
        <w:rPr>
          <w:b w:val="0"/>
        </w:rPr>
        <w:t>Indulási feltételek</w:t>
      </w:r>
      <w:bookmarkStart w:id="61" w:name="chapter4-h17"/>
      <w:bookmarkEnd w:id="61"/>
    </w:p>
    <w:p>
      <w:pPr>
        <w:pStyle w:val="ListBullet"/>
        <w:numPr>
          <w:ilvl w:val="0"/>
          <w:numId w:val="19"/>
        </w:numPr>
      </w:pPr>
      <w:r>
        <w:rPr>
          <w:b w:val="0"/>
        </w:rPr>
        <w:t>Kijelölt szakmai tulajdonos, eljárási jogi felelős, adatvédelmi és információbiztonsági felelős.</w:t>
      </w:r>
    </w:p>
    <w:p>
      <w:pPr>
        <w:pStyle w:val="ListBullet"/>
        <w:numPr>
          <w:ilvl w:val="0"/>
          <w:numId w:val="19"/>
        </w:numPr>
      </w:pPr>
      <w:r>
        <w:rPr>
          <w:b w:val="0"/>
        </w:rPr>
        <w:t>Dokumentált hatáskör és adatkezelési jogalap a kiválasztott feladatokra; a 2026-os hatálybalépési lépcsők áttekintése.</w:t>
      </w:r>
    </w:p>
    <w:p>
      <w:pPr>
        <w:pStyle w:val="ListBullet"/>
        <w:numPr>
          <w:ilvl w:val="0"/>
          <w:numId w:val="19"/>
        </w:numPr>
      </w:pPr>
      <w:r>
        <w:rPr>
          <w:b w:val="0"/>
        </w:rPr>
        <w:t>Szintetikus, megfelelően anonimizált vagy jogszerűen bevonható, elkülönített valós tesztanyag. Az álnevesített valós ügyirat továbbra is személyes adat lehet.</w:t>
      </w:r>
    </w:p>
    <w:p>
      <w:pPr>
        <w:pStyle w:val="ListBullet"/>
        <w:numPr>
          <w:ilvl w:val="0"/>
          <w:numId w:val="19"/>
        </w:numPr>
      </w:pPr>
      <w:r>
        <w:rPr>
          <w:b w:val="0"/>
        </w:rPr>
        <w:t>A gyártó és alvállalkozói adatkezelésének, modellhívásának, naplózásának és tanítási tilalmának szerződéses és technikai tisztázása.</w:t>
      </w:r>
    </w:p>
    <w:p>
      <w:pPr>
        <w:pStyle w:val="ListBullet"/>
        <w:numPr>
          <w:ilvl w:val="0"/>
          <w:numId w:val="19"/>
        </w:numPr>
      </w:pPr>
      <w:r>
        <w:rPr>
          <w:b w:val="0"/>
        </w:rPr>
        <w:t>Előre rögzített teszt, elfogadási feltételek, hibabejelentés és leállítási jogosultság.</w:t>
      </w:r>
    </w:p>
    <w:tbl>
      <w:tblPr>
        <w:tblW w:type="dxa" w:w="9360"/>
        <w:jc w:val="left"/>
        <w:tblLayout w:type="fixed"/>
        <w:tblLook w:firstColumn="1" w:firstRow="1" w:lastColumn="0" w:lastRow="0" w:noHBand="0" w:noVBand="1" w:val="04A0"/>
        <w:tblInd w:type="dxa" w:w="120"/>
        <w:tblCellMar>
          <w:top w:w="80" w:type="dxa"/>
          <w:bottom w:w="80" w:type="dxa"/>
          <w:start w:w="120" w:type="dxa"/>
          <w:end w:w="120" w:type="dxa"/>
        </w:tblCellMar>
        <w:tblBorders>
          <w:top w:val="single" w:sz="4" w:color="D9E0E5"/>
          <w:left w:val="single" w:sz="4" w:color="D9E0E5"/>
          <w:bottom w:val="single" w:sz="4" w:color="D9E0E5"/>
          <w:right w:val="single" w:sz="4" w:color="D9E0E5"/>
          <w:insideH w:val="single" w:sz="4" w:color="D9E0E5"/>
          <w:insideV w:val="single" w:sz="4" w:color="D9E0E5"/>
        </w:tblBorders>
      </w:tblPr>
      <w:tblGrid>
        <w:gridCol w:w="2700"/>
        <w:gridCol w:w="3990"/>
        <w:gridCol w:w="2670"/>
      </w:tblGrid>
      <w:tr>
        <w:trPr>
          <w:tblHeader/>
          <w:cantSplit/>
        </w:trPr>
        <w:tc>
          <w:tcPr>
            <w:tcW w:type="dxa" w:w="2700"/>
            <w:vAlign w:val="top"/>
            <w:shd w:fill="F2F4F7"/>
          </w:tcPr>
          <w:p>
            <w:pPr>
              <w:pStyle w:val="TableText"/>
              <w:keepNext/>
            </w:pPr>
            <w:r>
              <w:rPr>
                <w:b/>
              </w:rPr>
              <w:t>Időszak</w:t>
            </w:r>
          </w:p>
        </w:tc>
        <w:tc>
          <w:tcPr>
            <w:tcW w:type="dxa" w:w="3990"/>
            <w:vAlign w:val="top"/>
            <w:shd w:fill="F2F4F7"/>
          </w:tcPr>
          <w:p>
            <w:pPr>
              <w:pStyle w:val="TableText"/>
              <w:keepNext/>
            </w:pPr>
            <w:r>
              <w:rPr>
                <w:b/>
              </w:rPr>
              <w:t>Munka</w:t>
            </w:r>
          </w:p>
        </w:tc>
        <w:tc>
          <w:tcPr>
            <w:tcW w:type="dxa" w:w="2670"/>
            <w:vAlign w:val="top"/>
            <w:shd w:fill="F2F4F7"/>
          </w:tcPr>
          <w:p>
            <w:pPr>
              <w:pStyle w:val="TableText"/>
              <w:keepNext/>
            </w:pPr>
            <w:r>
              <w:rPr>
                <w:b/>
              </w:rPr>
              <w:t>Elvárt eredmény és döntés</w:t>
            </w:r>
          </w:p>
        </w:tc>
      </w:tr>
      <w:tr>
        <w:trPr>
          <w:cantSplit/>
        </w:trPr>
        <w:tc>
          <w:tcPr>
            <w:tcW w:type="dxa" w:w="2700"/>
            <w:vAlign w:val="top"/>
          </w:tcPr>
          <w:p>
            <w:pPr>
              <w:pStyle w:val="TableText"/>
            </w:pPr>
            <w:r>
              <w:rPr>
                <w:b w:val="0"/>
              </w:rPr>
              <w:t>1–15. nap</w:t>
            </w:r>
          </w:p>
        </w:tc>
        <w:tc>
          <w:tcPr>
            <w:tcW w:type="dxa" w:w="3990"/>
            <w:vAlign w:val="top"/>
          </w:tcPr>
          <w:p>
            <w:pPr>
              <w:pStyle w:val="TableText"/>
            </w:pPr>
            <w:r>
              <w:rPr>
                <w:b w:val="0"/>
              </w:rPr>
              <w:t>Jogi és biztonsági besorolás, feladatinterjúk, tesztanyag kiválasztása</w:t>
            </w:r>
          </w:p>
        </w:tc>
        <w:tc>
          <w:tcPr>
            <w:tcW w:type="dxa" w:w="2670"/>
            <w:vAlign w:val="top"/>
          </w:tcPr>
          <w:p>
            <w:pPr>
              <w:pStyle w:val="TableText"/>
            </w:pPr>
            <w:r>
              <w:rPr>
                <w:b w:val="0"/>
              </w:rPr>
              <w:t>Engedélyezett adatfolyam, mérési terv; tiltott funkciók kizárva</w:t>
            </w:r>
          </w:p>
        </w:tc>
      </w:tr>
      <w:tr>
        <w:trPr>
          <w:cantSplit/>
        </w:trPr>
        <w:tc>
          <w:tcPr>
            <w:tcW w:type="dxa" w:w="2700"/>
            <w:vAlign w:val="top"/>
          </w:tcPr>
          <w:p>
            <w:pPr>
              <w:pStyle w:val="TableText"/>
            </w:pPr>
            <w:r>
              <w:rPr>
                <w:b w:val="0"/>
              </w:rPr>
              <w:t>16–30. nap</w:t>
            </w:r>
          </w:p>
        </w:tc>
        <w:tc>
          <w:tcPr>
            <w:tcW w:type="dxa" w:w="3990"/>
            <w:vAlign w:val="top"/>
          </w:tcPr>
          <w:p>
            <w:pPr>
              <w:pStyle w:val="TableText"/>
            </w:pPr>
            <w:r>
              <w:rPr>
                <w:b w:val="0"/>
              </w:rPr>
              <w:t>Bevitel, iratjegyzék, OCR, jogosultságok, hibás fájlok rendezése</w:t>
            </w:r>
          </w:p>
        </w:tc>
        <w:tc>
          <w:tcPr>
            <w:tcW w:type="dxa" w:w="2670"/>
            <w:vAlign w:val="top"/>
          </w:tcPr>
          <w:p>
            <w:pPr>
              <w:pStyle w:val="TableText"/>
            </w:pPr>
            <w:r>
              <w:rPr>
                <w:b w:val="0"/>
              </w:rPr>
              <w:t>Minden tétel feldolgozott vagy látható kivétellistán szerepel</w:t>
            </w:r>
          </w:p>
        </w:tc>
      </w:tr>
      <w:tr>
        <w:trPr>
          <w:cantSplit/>
        </w:trPr>
        <w:tc>
          <w:tcPr>
            <w:tcW w:type="dxa" w:w="2700"/>
            <w:vAlign w:val="top"/>
          </w:tcPr>
          <w:p>
            <w:pPr>
              <w:pStyle w:val="TableText"/>
            </w:pPr>
            <w:r>
              <w:rPr>
                <w:b w:val="0"/>
              </w:rPr>
              <w:t>31–45. nap</w:t>
            </w:r>
          </w:p>
        </w:tc>
        <w:tc>
          <w:tcPr>
            <w:tcW w:type="dxa" w:w="3990"/>
            <w:vAlign w:val="top"/>
          </w:tcPr>
          <w:p>
            <w:pPr>
              <w:pStyle w:val="TableText"/>
            </w:pPr>
            <w:r>
              <w:rPr>
                <w:b w:val="0"/>
              </w:rPr>
              <w:t>Hagyományos módszerrel mért alapvonal és szakértői tesztcímkék</w:t>
            </w:r>
          </w:p>
        </w:tc>
        <w:tc>
          <w:tcPr>
            <w:tcW w:type="dxa" w:w="2670"/>
            <w:vAlign w:val="top"/>
          </w:tcPr>
          <w:p>
            <w:pPr>
              <w:pStyle w:val="TableText"/>
            </w:pPr>
            <w:r>
              <w:rPr>
                <w:b w:val="0"/>
              </w:rPr>
              <w:t>Összehasonlítható idő- és minőségadat; elkülönített vakteszt</w:t>
            </w:r>
          </w:p>
        </w:tc>
      </w:tr>
      <w:tr>
        <w:trPr>
          <w:cantSplit/>
        </w:trPr>
        <w:tc>
          <w:tcPr>
            <w:tcW w:type="dxa" w:w="2700"/>
            <w:vAlign w:val="top"/>
          </w:tcPr>
          <w:p>
            <w:pPr>
              <w:pStyle w:val="TableText"/>
            </w:pPr>
            <w:r>
              <w:rPr>
                <w:b w:val="0"/>
              </w:rPr>
              <w:t>46–65. nap</w:t>
            </w:r>
          </w:p>
        </w:tc>
        <w:tc>
          <w:tcPr>
            <w:tcW w:type="dxa" w:w="3990"/>
            <w:vAlign w:val="top"/>
          </w:tcPr>
          <w:p>
            <w:pPr>
              <w:pStyle w:val="TableText"/>
            </w:pPr>
            <w:r>
              <w:rPr>
                <w:b w:val="0"/>
              </w:rPr>
              <w:t>Legfeljebb két megoldás beállítása és próbája</w:t>
            </w:r>
          </w:p>
        </w:tc>
        <w:tc>
          <w:tcPr>
            <w:tcW w:type="dxa" w:w="2670"/>
            <w:vAlign w:val="top"/>
          </w:tcPr>
          <w:p>
            <w:pPr>
              <w:pStyle w:val="TableText"/>
            </w:pPr>
            <w:r>
              <w:rPr>
                <w:b w:val="0"/>
              </w:rPr>
              <w:t>Forrásos találatok, hibakategóriák, magyar nyelvi eredmények</w:t>
            </w:r>
          </w:p>
        </w:tc>
      </w:tr>
      <w:tr>
        <w:trPr>
          <w:cantSplit/>
        </w:trPr>
        <w:tc>
          <w:tcPr>
            <w:tcW w:type="dxa" w:w="2700"/>
            <w:vAlign w:val="top"/>
          </w:tcPr>
          <w:p>
            <w:pPr>
              <w:pStyle w:val="TableText"/>
            </w:pPr>
            <w:r>
              <w:rPr>
                <w:b w:val="0"/>
              </w:rPr>
              <w:t>66–80. nap</w:t>
            </w:r>
          </w:p>
        </w:tc>
        <w:tc>
          <w:tcPr>
            <w:tcW w:type="dxa" w:w="3990"/>
            <w:vAlign w:val="top"/>
          </w:tcPr>
          <w:p>
            <w:pPr>
              <w:pStyle w:val="TableText"/>
            </w:pPr>
            <w:r>
              <w:rPr>
                <w:b w:val="0"/>
              </w:rPr>
              <w:t>Ellenőrzött párhuzamos próba a rendes munkával</w:t>
            </w:r>
          </w:p>
        </w:tc>
        <w:tc>
          <w:tcPr>
            <w:tcW w:type="dxa" w:w="2670"/>
            <w:vAlign w:val="top"/>
          </w:tcPr>
          <w:p>
            <w:pPr>
              <w:pStyle w:val="TableText"/>
            </w:pPr>
            <w:r>
              <w:rPr>
                <w:b w:val="0"/>
              </w:rPr>
              <w:t>Az AI kimenete önálló joghatást nem kap; teljes ellenőrzési idő mérve</w:t>
            </w:r>
          </w:p>
        </w:tc>
      </w:tr>
      <w:tr>
        <w:trPr>
          <w:cantSplit/>
        </w:trPr>
        <w:tc>
          <w:tcPr>
            <w:tcW w:type="dxa" w:w="2700"/>
            <w:vAlign w:val="top"/>
          </w:tcPr>
          <w:p>
            <w:pPr>
              <w:pStyle w:val="TableText"/>
            </w:pPr>
            <w:r>
              <w:rPr>
                <w:b w:val="0"/>
              </w:rPr>
              <w:t>81–90. nap</w:t>
            </w:r>
          </w:p>
        </w:tc>
        <w:tc>
          <w:tcPr>
            <w:tcW w:type="dxa" w:w="3990"/>
            <w:vAlign w:val="top"/>
          </w:tcPr>
          <w:p>
            <w:pPr>
              <w:pStyle w:val="TableText"/>
            </w:pPr>
            <w:r>
              <w:rPr>
                <w:b w:val="0"/>
              </w:rPr>
              <w:t>Vakteszt, költség, biztonság és felhasználói terhelés összegzése</w:t>
            </w:r>
          </w:p>
        </w:tc>
        <w:tc>
          <w:tcPr>
            <w:tcW w:type="dxa" w:w="2670"/>
            <w:vAlign w:val="top"/>
          </w:tcPr>
          <w:p>
            <w:pPr>
              <w:pStyle w:val="TableText"/>
            </w:pPr>
            <w:r>
              <w:rPr>
                <w:b w:val="0"/>
              </w:rPr>
              <w:t>Folytatás, szűkebb használat, javítás vagy leállítás indokolt döntéssel</w:t>
            </w:r>
          </w:p>
        </w:tc>
      </w:tr>
    </w:tbl>
    <w:p>
      <w:pPr>
        <w:spacing w:after="80"/>
      </w:pPr>
    </w:p>
    <w:p>
      <w:pPr/>
      <w:r>
        <w:rPr>
          <w:b/>
        </w:rPr>
        <w:t>Első három feladat:</w:t>
      </w:r>
      <w:r>
        <w:rPr>
          <w:b w:val="0"/>
        </w:rPr>
        <w:t xml:space="preserve"> e-mail/szerződés relevancia és keresés; forrásos idővonal és szereplőkapcsolat; vallomás–irat eltérésjelzés. Hangfeldolgozás akkor kerüljön velük azonos körbe, ha ehhez valós, jogszerű és minőségileg változatos minta, valamint visszahallgatási kapacitás rendelkezésre áll. A jogi minősítés automatizálását az első körből ki kell hagyni.</w:t>
      </w:r>
    </w:p>
    <w:p>
      <w:pPr>
        <w:pStyle w:val="Heading3"/>
      </w:pPr>
      <w:r>
        <w:rPr>
          <w:b w:val="0"/>
        </w:rPr>
        <w:t>Mi legyen a tesztanyagban?</w:t>
      </w:r>
      <w:bookmarkStart w:id="62" w:name="chapter4-h21"/>
      <w:bookmarkEnd w:id="62"/>
    </w:p>
    <w:p>
      <w:pPr/>
      <w:r>
        <w:rPr>
          <w:b w:val="0"/>
        </w:rPr>
        <w:t>Javasolt kiindulás: 2–3 eltérő ügytípus vagy elkülönített történeti ügycsomag; például közbeszerzési összejátszás, állami vállalati vagyonkezelés és támogatásfelhasználás. Legyenek releváns, irreleváns, kétértelmű és kifejezetten mentő dokumentumok, rossz OCR, hosszú levélszálak, nem teljesült tervezetek, azonos nevű emberek, névváltozások, mellékletek és különböző időállapotok.</w:t>
      </w:r>
    </w:p>
    <w:p>
      <w:pPr/>
      <w:r>
        <w:rPr>
          <w:b w:val="0"/>
        </w:rPr>
        <w:t>A beállító és értékelő anyagot beszélgetés, forráscsomag vagy ügy szerint kell elválasztani. Ha ugyanannak a levélnek a másolata mindkét részben szerepel, a látszólag jó teljesítmény félrevezető. Két független szakmai olvasó készítsen címkéket a kiválasztott ellenőrzési mintán; az eltéréseket harmadik döntő vagy egyeztetés rendezze. Maga az emberi referencia is lehet bizonytalan, ezt külön rögzíteni kell.</w:t>
      </w:r>
    </w:p>
    <w:p>
      <w:pPr>
        <w:pStyle w:val="Heading2"/>
      </w:pPr>
      <w:r>
        <w:rPr>
          <w:b w:val="0"/>
        </w:rPr>
        <w:t>4.3. Mit mérjünk, és mit ne?</w:t>
      </w:r>
      <w:bookmarkStart w:id="63" w:name="chapter4-h24"/>
      <w:bookmarkEnd w:id="63"/>
    </w:p>
    <w:tbl>
      <w:tblPr>
        <w:tblW w:type="dxa" w:w="9360"/>
        <w:jc w:val="left"/>
        <w:tblLayout w:type="fixed"/>
        <w:tblLook w:firstColumn="1" w:firstRow="1" w:lastColumn="0" w:lastRow="0" w:noHBand="0" w:noVBand="1" w:val="04A0"/>
        <w:tblInd w:type="dxa" w:w="120"/>
        <w:tblCellMar>
          <w:top w:w="80" w:type="dxa"/>
          <w:bottom w:w="80" w:type="dxa"/>
          <w:start w:w="120" w:type="dxa"/>
          <w:end w:w="120" w:type="dxa"/>
        </w:tblCellMar>
        <w:tblBorders>
          <w:top w:val="single" w:sz="4" w:color="D9E0E5"/>
          <w:left w:val="single" w:sz="4" w:color="D9E0E5"/>
          <w:bottom w:val="single" w:sz="4" w:color="D9E0E5"/>
          <w:right w:val="single" w:sz="4" w:color="D9E0E5"/>
          <w:insideH w:val="single" w:sz="4" w:color="D9E0E5"/>
          <w:insideV w:val="single" w:sz="4" w:color="D9E0E5"/>
        </w:tblBorders>
      </w:tblPr>
      <w:tblGrid>
        <w:gridCol w:w="2700"/>
        <w:gridCol w:w="3990"/>
        <w:gridCol w:w="2670"/>
      </w:tblGrid>
      <w:tr>
        <w:trPr>
          <w:tblHeader/>
          <w:cantSplit/>
        </w:trPr>
        <w:tc>
          <w:tcPr>
            <w:tcW w:type="dxa" w:w="2700"/>
            <w:vAlign w:val="top"/>
            <w:shd w:fill="F2F4F7"/>
          </w:tcPr>
          <w:p>
            <w:pPr>
              <w:pStyle w:val="TableText"/>
              <w:keepNext/>
            </w:pPr>
            <w:r>
              <w:rPr>
                <w:b/>
              </w:rPr>
              <w:t>Mérőszám</w:t>
            </w:r>
          </w:p>
        </w:tc>
        <w:tc>
          <w:tcPr>
            <w:tcW w:type="dxa" w:w="3990"/>
            <w:vAlign w:val="top"/>
            <w:shd w:fill="F2F4F7"/>
          </w:tcPr>
          <w:p>
            <w:pPr>
              <w:pStyle w:val="TableText"/>
              <w:keepNext/>
            </w:pPr>
            <w:r>
              <w:rPr>
                <w:b/>
              </w:rPr>
              <w:t>Pontos jelentés</w:t>
            </w:r>
          </w:p>
        </w:tc>
        <w:tc>
          <w:tcPr>
            <w:tcW w:type="dxa" w:w="2670"/>
            <w:vAlign w:val="top"/>
            <w:shd w:fill="F2F4F7"/>
          </w:tcPr>
          <w:p>
            <w:pPr>
              <w:pStyle w:val="TableText"/>
              <w:keepNext/>
            </w:pPr>
            <w:r>
              <w:rPr>
                <w:b/>
              </w:rPr>
              <w:t>Miért szükséges?</w:t>
            </w:r>
          </w:p>
        </w:tc>
      </w:tr>
      <w:tr>
        <w:trPr>
          <w:cantSplit/>
        </w:trPr>
        <w:tc>
          <w:tcPr>
            <w:tcW w:type="dxa" w:w="2700"/>
            <w:vAlign w:val="top"/>
          </w:tcPr>
          <w:p>
            <w:pPr>
              <w:pStyle w:val="TableText"/>
            </w:pPr>
            <w:r>
              <w:rPr>
                <w:b w:val="0"/>
              </w:rPr>
              <w:t>Teljes feldolgozási lefedettség</w:t>
            </w:r>
          </w:p>
        </w:tc>
        <w:tc>
          <w:tcPr>
            <w:tcW w:type="dxa" w:w="3990"/>
            <w:vAlign w:val="top"/>
          </w:tcPr>
          <w:p>
            <w:pPr>
              <w:pStyle w:val="TableText"/>
            </w:pPr>
            <w:r>
              <w:rPr>
                <w:b w:val="0"/>
              </w:rPr>
              <w:t>Átvett, sikeresen olvasott, részben olvasott és hibás tétel száma/formátuma</w:t>
            </w:r>
          </w:p>
        </w:tc>
        <w:tc>
          <w:tcPr>
            <w:tcW w:type="dxa" w:w="2670"/>
            <w:vAlign w:val="top"/>
          </w:tcPr>
          <w:p>
            <w:pPr>
              <w:pStyle w:val="TableText"/>
            </w:pPr>
            <w:r>
              <w:rPr>
                <w:b w:val="0"/>
              </w:rPr>
              <w:t>A rendszer ne tűnjön gyorsnak azáltal, hogy kihagy adatot</w:t>
            </w:r>
          </w:p>
        </w:tc>
      </w:tr>
      <w:tr>
        <w:trPr>
          <w:cantSplit/>
        </w:trPr>
        <w:tc>
          <w:tcPr>
            <w:tcW w:type="dxa" w:w="2700"/>
            <w:vAlign w:val="top"/>
          </w:tcPr>
          <w:p>
            <w:pPr>
              <w:pStyle w:val="TableText"/>
            </w:pPr>
            <w:r>
              <w:rPr>
                <w:b w:val="0"/>
              </w:rPr>
              <w:t>Releváns iratok megtalálási aránya</w:t>
            </w:r>
          </w:p>
        </w:tc>
        <w:tc>
          <w:tcPr>
            <w:tcW w:type="dxa" w:w="3990"/>
            <w:vAlign w:val="top"/>
          </w:tcPr>
          <w:p>
            <w:pPr>
              <w:pStyle w:val="TableText"/>
            </w:pPr>
            <w:r>
              <w:rPr>
                <w:b w:val="0"/>
              </w:rPr>
              <w:t>Megtalált releváns / valamennyi releváns a címkézett tesztben; terhelő és mentő külön</w:t>
            </w:r>
          </w:p>
        </w:tc>
        <w:tc>
          <w:tcPr>
            <w:tcW w:type="dxa" w:w="2670"/>
            <w:vAlign w:val="top"/>
          </w:tcPr>
          <w:p>
            <w:pPr>
              <w:pStyle w:val="TableText"/>
            </w:pPr>
            <w:r>
              <w:rPr>
                <w:b w:val="0"/>
              </w:rPr>
              <w:t>A kihagyások a bizonyítás minőségét érintik</w:t>
            </w:r>
          </w:p>
        </w:tc>
      </w:tr>
      <w:tr>
        <w:trPr>
          <w:cantSplit/>
        </w:trPr>
        <w:tc>
          <w:tcPr>
            <w:tcW w:type="dxa" w:w="2700"/>
            <w:vAlign w:val="top"/>
          </w:tcPr>
          <w:p>
            <w:pPr>
              <w:pStyle w:val="TableText"/>
            </w:pPr>
            <w:r>
              <w:rPr>
                <w:b w:val="0"/>
              </w:rPr>
              <w:t>Találatok hasznossága</w:t>
            </w:r>
          </w:p>
        </w:tc>
        <w:tc>
          <w:tcPr>
            <w:tcW w:type="dxa" w:w="3990"/>
            <w:vAlign w:val="top"/>
          </w:tcPr>
          <w:p>
            <w:pPr>
              <w:pStyle w:val="TableText"/>
            </w:pPr>
            <w:r>
              <w:rPr>
                <w:b w:val="0"/>
              </w:rPr>
              <w:t>Valóban releváns / ellenőrzésre kiemelt</w:t>
            </w:r>
          </w:p>
        </w:tc>
        <w:tc>
          <w:tcPr>
            <w:tcW w:type="dxa" w:w="2670"/>
            <w:vAlign w:val="top"/>
          </w:tcPr>
          <w:p>
            <w:pPr>
              <w:pStyle w:val="TableText"/>
            </w:pPr>
            <w:r>
              <w:rPr>
                <w:b w:val="0"/>
              </w:rPr>
              <w:t>A túl sok téves riasztás elviheti a megtakarítást</w:t>
            </w:r>
          </w:p>
        </w:tc>
      </w:tr>
      <w:tr>
        <w:trPr>
          <w:cantSplit/>
        </w:trPr>
        <w:tc>
          <w:tcPr>
            <w:tcW w:type="dxa" w:w="2700"/>
            <w:vAlign w:val="top"/>
          </w:tcPr>
          <w:p>
            <w:pPr>
              <w:pStyle w:val="TableText"/>
            </w:pPr>
            <w:r>
              <w:rPr>
                <w:b w:val="0"/>
              </w:rPr>
              <w:t>Hivatkozási helyesség</w:t>
            </w:r>
          </w:p>
        </w:tc>
        <w:tc>
          <w:tcPr>
            <w:tcW w:type="dxa" w:w="3990"/>
            <w:vAlign w:val="top"/>
          </w:tcPr>
          <w:p>
            <w:pPr>
              <w:pStyle w:val="TableText"/>
            </w:pPr>
            <w:r>
              <w:rPr>
                <w:b w:val="0"/>
              </w:rPr>
              <w:t>A forrás létezik, a megfelelő változat nyílik meg, és alátámasztja az állítást</w:t>
            </w:r>
          </w:p>
        </w:tc>
        <w:tc>
          <w:tcPr>
            <w:tcW w:type="dxa" w:w="2670"/>
            <w:vAlign w:val="top"/>
          </w:tcPr>
          <w:p>
            <w:pPr>
              <w:pStyle w:val="TableText"/>
            </w:pPr>
            <w:r>
              <w:rPr>
                <w:b w:val="0"/>
              </w:rPr>
              <w:t>A hihető összefoglaló önmagában nem elég</w:t>
            </w:r>
          </w:p>
        </w:tc>
      </w:tr>
      <w:tr>
        <w:trPr>
          <w:cantSplit/>
        </w:trPr>
        <w:tc>
          <w:tcPr>
            <w:tcW w:type="dxa" w:w="2700"/>
            <w:vAlign w:val="top"/>
          </w:tcPr>
          <w:p>
            <w:pPr>
              <w:pStyle w:val="TableText"/>
            </w:pPr>
            <w:r>
              <w:rPr>
                <w:b w:val="0"/>
              </w:rPr>
              <w:t>Kritikus mezők pontossága</w:t>
            </w:r>
          </w:p>
        </w:tc>
        <w:tc>
          <w:tcPr>
            <w:tcW w:type="dxa" w:w="3990"/>
            <w:vAlign w:val="top"/>
          </w:tcPr>
          <w:p>
            <w:pPr>
              <w:pStyle w:val="TableText"/>
            </w:pPr>
            <w:r>
              <w:rPr>
                <w:b w:val="0"/>
              </w:rPr>
              <w:t>Személy, dátum, összeg, pénznem, tagadás, jogkör és forrásazonosító</w:t>
            </w:r>
          </w:p>
        </w:tc>
        <w:tc>
          <w:tcPr>
            <w:tcW w:type="dxa" w:w="2670"/>
            <w:vAlign w:val="top"/>
          </w:tcPr>
          <w:p>
            <w:pPr>
              <w:pStyle w:val="TableText"/>
            </w:pPr>
            <w:r>
              <w:rPr>
                <w:b w:val="0"/>
              </w:rPr>
              <w:t>Egyetlen szám- vagy névhiba megfordíthatja a történetet</w:t>
            </w:r>
          </w:p>
        </w:tc>
      </w:tr>
      <w:tr>
        <w:trPr>
          <w:cantSplit/>
        </w:trPr>
        <w:tc>
          <w:tcPr>
            <w:tcW w:type="dxa" w:w="2700"/>
            <w:vAlign w:val="top"/>
          </w:tcPr>
          <w:p>
            <w:pPr>
              <w:pStyle w:val="TableText"/>
            </w:pPr>
            <w:r>
              <w:rPr>
                <w:b w:val="0"/>
              </w:rPr>
              <w:t>Összes emberi munkaidő</w:t>
            </w:r>
          </w:p>
        </w:tc>
        <w:tc>
          <w:tcPr>
            <w:tcW w:type="dxa" w:w="3990"/>
            <w:vAlign w:val="top"/>
          </w:tcPr>
          <w:p>
            <w:pPr>
              <w:pStyle w:val="TableText"/>
            </w:pPr>
            <w:r>
              <w:rPr>
                <w:b w:val="0"/>
              </w:rPr>
              <w:t>Beállítás + ellenőrzés + negatívminta + hibajavítás + export</w:t>
            </w:r>
          </w:p>
        </w:tc>
        <w:tc>
          <w:tcPr>
            <w:tcW w:type="dxa" w:w="2670"/>
            <w:vAlign w:val="top"/>
          </w:tcPr>
          <w:p>
            <w:pPr>
              <w:pStyle w:val="TableText"/>
            </w:pPr>
            <w:r>
              <w:rPr>
                <w:b w:val="0"/>
              </w:rPr>
              <w:t>Nemcsak a modell futási ideje számít</w:t>
            </w:r>
          </w:p>
        </w:tc>
      </w:tr>
      <w:tr>
        <w:trPr>
          <w:cantSplit/>
        </w:trPr>
        <w:tc>
          <w:tcPr>
            <w:tcW w:type="dxa" w:w="2700"/>
            <w:vAlign w:val="top"/>
          </w:tcPr>
          <w:p>
            <w:pPr>
              <w:pStyle w:val="TableText"/>
            </w:pPr>
            <w:r>
              <w:rPr>
                <w:b w:val="0"/>
              </w:rPr>
              <w:t>Döntésig eltelt idő</w:t>
            </w:r>
          </w:p>
        </w:tc>
        <w:tc>
          <w:tcPr>
            <w:tcW w:type="dxa" w:w="3990"/>
            <w:vAlign w:val="top"/>
          </w:tcPr>
          <w:p>
            <w:pPr>
              <w:pStyle w:val="TableText"/>
            </w:pPr>
            <w:r>
              <w:rPr>
                <w:b w:val="0"/>
              </w:rPr>
              <w:t>Tényleges naptári idő egy meghatározott munkacsomagnál</w:t>
            </w:r>
          </w:p>
        </w:tc>
        <w:tc>
          <w:tcPr>
            <w:tcW w:type="dxa" w:w="2670"/>
            <w:vAlign w:val="top"/>
          </w:tcPr>
          <w:p>
            <w:pPr>
              <w:pStyle w:val="TableText"/>
            </w:pPr>
            <w:r>
              <w:rPr>
                <w:b w:val="0"/>
              </w:rPr>
              <w:t>Megkülönbözteti a kapacitásnyereséget az ügygyorsítástól</w:t>
            </w:r>
          </w:p>
        </w:tc>
      </w:tr>
      <w:tr>
        <w:trPr>
          <w:cantSplit/>
        </w:trPr>
        <w:tc>
          <w:tcPr>
            <w:tcW w:type="dxa" w:w="2700"/>
            <w:vAlign w:val="top"/>
          </w:tcPr>
          <w:p>
            <w:pPr>
              <w:pStyle w:val="TableText"/>
            </w:pPr>
            <w:r>
              <w:rPr>
                <w:b w:val="0"/>
              </w:rPr>
              <w:t>Újramunka és jogvédelmi hiba</w:t>
            </w:r>
          </w:p>
        </w:tc>
        <w:tc>
          <w:tcPr>
            <w:tcW w:type="dxa" w:w="3990"/>
            <w:vAlign w:val="top"/>
          </w:tcPr>
          <w:p>
            <w:pPr>
              <w:pStyle w:val="TableText"/>
            </w:pPr>
            <w:r>
              <w:rPr>
                <w:b w:val="0"/>
              </w:rPr>
              <w:t>Ismételt feldolgozás, rossz hozzáférés, kimaradt mentő adat</w:t>
            </w:r>
          </w:p>
        </w:tc>
        <w:tc>
          <w:tcPr>
            <w:tcW w:type="dxa" w:w="2670"/>
            <w:vAlign w:val="top"/>
          </w:tcPr>
          <w:p>
            <w:pPr>
              <w:pStyle w:val="TableText"/>
            </w:pPr>
            <w:r>
              <w:rPr>
                <w:b w:val="0"/>
              </w:rPr>
              <w:t>A gyorsítás ne későbbi eljárási költséggé változzon</w:t>
            </w:r>
          </w:p>
        </w:tc>
      </w:tr>
    </w:tbl>
    <w:p>
      <w:pPr>
        <w:spacing w:after="80"/>
      </w:pPr>
    </w:p>
    <w:p>
      <w:pPr/>
      <w:r>
        <w:rPr>
          <w:b/>
        </w:rPr>
        <w:t>Nem megfelelő fő mérőszám:</w:t>
      </w:r>
      <w:r>
        <w:rPr>
          <w:b w:val="0"/>
        </w:rPr>
        <w:t xml:space="preserve"> a modell által gyanúsnak nevezett személyek, a létrehozott összefoglalók vagy a beadott vádak puszta száma. A vádemelésig jutó, kellően megalapozott ügyek száma fontos szervezeti eredmény, de egy rövid AI-próbában ritka és késleltetett esemény. A későbbi bírósági kimeneteket ügyösszetétellel és eljárási idővel együtt kell követni, nem kizárólag technológiai teljesítményként.</w:t>
      </w:r>
    </w:p>
    <w:p>
      <w:pPr>
        <w:pStyle w:val="Heading3"/>
      </w:pPr>
      <w:r>
        <w:rPr>
          <w:b w:val="0"/>
        </w:rPr>
        <w:t>A nem kiemelt iratok vizsgálata elengedhetetlen</w:t>
      </w:r>
      <w:bookmarkStart w:id="64" w:name="chapter4-h27"/>
      <w:bookmarkEnd w:id="64"/>
    </w:p>
    <w:p>
      <w:pPr/>
      <w:r>
        <w:rPr>
          <w:b w:val="0"/>
        </w:rPr>
        <w:t>A kiemelt találatok átolvasása nem mondja meg, hány fontos irat maradt a háttérben. Rétegzett mintavétel kell a nem kiemelt állományból: külön nyelv, forrás, dátum, fájltípus, hangminőség, szereplő és alacsony modellbizonyosság szerint. A ritka, de fontos mentő tényeknek és közvetlen terhelő iratoknak külön ellenőrző készlet szükséges.</w:t>
      </w:r>
    </w:p>
    <w:p>
      <w:pPr/>
      <w:r>
        <w:rPr>
          <w:b w:val="0"/>
        </w:rPr>
        <w:t xml:space="preserve">Szemléltetés: ha egy valóban véletlen, megfelelően független, 3000 darabos negatívmintában nulla kihagyott releváns tétel van, a gyakran alkalmazott közelítés a mintázott sokaság hibaarányának 95%-os felső korlátját nagyjából 3/3000 = 0,1%-ra teszi. Ez </w:t>
      </w:r>
      <w:r>
        <w:rPr>
          <w:b/>
        </w:rPr>
        <w:t>nem 100%-os megtalálási arány</w:t>
      </w:r>
      <w:r>
        <w:rPr>
          <w:b w:val="0"/>
        </w:rPr>
        <w:t>. Egy 65 000 tételes hátrahagyott állományban még e korlátnál is nagyságrendileg 65 releváns tétel lehetne. Függő levélmásolatok és rétegzett minták esetén a számítást módosítani kell; ez nem kész mintavételi engedély.</w:t>
      </w:r>
    </w:p>
    <w:p>
      <w:pPr>
        <w:pStyle w:val="Heading3"/>
      </w:pPr>
      <w:r>
        <w:rPr>
          <w:b w:val="0"/>
        </w:rPr>
        <w:t>Elfogadási és leállítási kapuk</w:t>
      </w:r>
      <w:bookmarkStart w:id="65" w:name="chapter4-h30"/>
      <w:bookmarkEnd w:id="65"/>
    </w:p>
    <w:p>
      <w:pPr/>
      <w:r>
        <w:rPr>
          <w:b/>
        </w:rPr>
        <w:t>Kötelező kapu:</w:t>
      </w:r>
      <w:r>
        <w:rPr>
          <w:b w:val="0"/>
        </w:rPr>
        <w:t xml:space="preserve"> a tesztből nem hiányozhat nyomtalanul adat; a felhasznált lényegi állításokhoz ellenőrzött eredeti forrás kell; tiltott hozzáférés, tanításra történő jogosulatlan továbbítás vagy kitalált bizonyíték nem fogadható el. Az incidens érintett funkciójának használatát fel kell függeszteni és ki kell vizsgálni.</w:t>
      </w:r>
    </w:p>
    <w:p>
      <w:pPr/>
      <w:r>
        <w:rPr>
          <w:b/>
        </w:rPr>
        <w:t>Minőségi kapu:</w:t>
      </w:r>
      <w:r>
        <w:rPr>
          <w:b w:val="0"/>
        </w:rPr>
        <w:t xml:space="preserve"> a feladatban előre meghatározott megtalálási arányt és kritikus hibakorlátot bizonytalansági tartománnyal együtt kell értékelni. Például egy 95%-os cél lehet kiinduló szervezeti tesztküszöb, de nem jogszabályi mérce, nem minden részfeladatra elégséges, és nem igazolja automatikusan a nem kiemelt iratok végleges elhagyását. Ha a rendszer a mentő anyagon lényegesen gyengébb, a pozitív összesített átlag sem elegendő.</w:t>
      </w:r>
    </w:p>
    <w:p>
      <w:pPr/>
      <w:r>
        <w:rPr>
          <w:b/>
        </w:rPr>
        <w:t>Gazdasági kapu:</w:t>
      </w:r>
      <w:r>
        <w:rPr>
          <w:b w:val="0"/>
        </w:rPr>
        <w:t xml:space="preserve"> csak a teljes felülvizsgálatot és hibajavítást is tartalmazó időnyereség számítson. Előre rögzíthető például legalább 20%-os nettó munkaóra-csökkenési cél a kiválasztott feladatban, minőségromlás nélkül. Ez projektcél, nem termékre vonatkozó ígéret.</w:t>
      </w:r>
    </w:p>
    <w:p>
      <w:pPr/>
      <w:r>
        <w:rPr>
          <w:b/>
        </w:rPr>
        <w:t>Korlátozott továbbhasználat:</w:t>
      </w:r>
      <w:r>
        <w:rPr>
          <w:b w:val="0"/>
        </w:rPr>
        <w:t xml:space="preserve"> ha a kereső hasznos, de a rangsorolás kihagy fontos iratot, a rendszer megtartható keresési segédként, miközben a nem kiemelt anyag kötelező emberi áttekintése megmarad. Nem csak „mindent bevezetni” vagy „mindent elvetni” döntés létezik.</w:t>
      </w:r>
    </w:p>
    <w:p>
      <w:pPr>
        <w:pStyle w:val="Heading2"/>
      </w:pPr>
      <w:r>
        <w:rPr>
          <w:b w:val="0"/>
        </w:rPr>
        <w:t>4.4. Csapat és felelősség</w:t>
      </w:r>
      <w:bookmarkStart w:id="66" w:name="chapter4-h35"/>
      <w:bookmarkEnd w:id="66"/>
    </w:p>
    <w:p>
      <w:pPr/>
      <w:r>
        <w:rPr>
          <w:b w:val="0"/>
        </w:rPr>
        <w:t>Egy első, több szakterületet érintő próba szemléltető kapacitásigénye 8–12 teljes munkaidős egyenérték lehet, részben meglévő munkatársakkal. Nem feltétlenül ennyi új álláshelyet jelent. A valódi igény az adatmennyiségtől, meglévő eszközöktől és a felülvizsgálat mélységétől függ.</w:t>
      </w:r>
    </w:p>
    <w:tbl>
      <w:tblPr>
        <w:tblW w:type="dxa" w:w="9360"/>
        <w:jc w:val="left"/>
        <w:tblLayout w:type="fixed"/>
        <w:tblLook w:firstColumn="1" w:firstRow="1" w:lastColumn="0" w:lastRow="0" w:noHBand="0" w:noVBand="1" w:val="04A0"/>
        <w:tblInd w:type="dxa" w:w="120"/>
        <w:tblCellMar>
          <w:top w:w="80" w:type="dxa"/>
          <w:bottom w:w="80" w:type="dxa"/>
          <w:start w:w="120" w:type="dxa"/>
          <w:end w:w="120" w:type="dxa"/>
        </w:tblCellMar>
        <w:tblBorders>
          <w:top w:val="single" w:sz="4" w:color="D9E0E5"/>
          <w:left w:val="single" w:sz="4" w:color="D9E0E5"/>
          <w:bottom w:val="single" w:sz="4" w:color="D9E0E5"/>
          <w:right w:val="single" w:sz="4" w:color="D9E0E5"/>
          <w:insideH w:val="single" w:sz="4" w:color="D9E0E5"/>
          <w:insideV w:val="single" w:sz="4" w:color="D9E0E5"/>
        </w:tblBorders>
      </w:tblPr>
      <w:tblGrid>
        <w:gridCol w:w="2700"/>
        <w:gridCol w:w="3990"/>
        <w:gridCol w:w="2670"/>
      </w:tblGrid>
      <w:tr>
        <w:trPr>
          <w:tblHeader/>
          <w:cantSplit/>
        </w:trPr>
        <w:tc>
          <w:tcPr>
            <w:tcW w:type="dxa" w:w="2700"/>
            <w:vAlign w:val="top"/>
            <w:shd w:fill="F2F4F7"/>
          </w:tcPr>
          <w:p>
            <w:pPr>
              <w:pStyle w:val="TableText"/>
              <w:keepNext/>
            </w:pPr>
            <w:r>
              <w:rPr>
                <w:b/>
              </w:rPr>
              <w:t>Szerep</w:t>
            </w:r>
          </w:p>
        </w:tc>
        <w:tc>
          <w:tcPr>
            <w:tcW w:type="dxa" w:w="3990"/>
            <w:vAlign w:val="top"/>
            <w:shd w:fill="F2F4F7"/>
          </w:tcPr>
          <w:p>
            <w:pPr>
              <w:pStyle w:val="TableText"/>
              <w:keepNext/>
            </w:pPr>
            <w:r>
              <w:rPr>
                <w:b/>
              </w:rPr>
              <w:t>Felelősség</w:t>
            </w:r>
          </w:p>
        </w:tc>
        <w:tc>
          <w:tcPr>
            <w:tcW w:type="dxa" w:w="2670"/>
            <w:vAlign w:val="top"/>
            <w:shd w:fill="F2F4F7"/>
          </w:tcPr>
          <w:p>
            <w:pPr>
              <w:pStyle w:val="TableText"/>
              <w:keepNext/>
            </w:pPr>
            <w:r>
              <w:rPr>
                <w:b/>
              </w:rPr>
              <w:t>Példabeli kapacitás</w:t>
            </w:r>
          </w:p>
        </w:tc>
      </w:tr>
      <w:tr>
        <w:trPr>
          <w:cantSplit/>
        </w:trPr>
        <w:tc>
          <w:tcPr>
            <w:tcW w:type="dxa" w:w="2700"/>
            <w:vAlign w:val="top"/>
          </w:tcPr>
          <w:p>
            <w:pPr>
              <w:pStyle w:val="TableText"/>
            </w:pPr>
            <w:r>
              <w:rPr>
                <w:b w:val="0"/>
              </w:rPr>
              <w:t>Ügyészi szakmai vezetés</w:t>
            </w:r>
          </w:p>
        </w:tc>
        <w:tc>
          <w:tcPr>
            <w:tcW w:type="dxa" w:w="3990"/>
            <w:vAlign w:val="top"/>
          </w:tcPr>
          <w:p>
            <w:pPr>
              <w:pStyle w:val="TableText"/>
            </w:pPr>
            <w:r>
              <w:rPr>
                <w:b w:val="0"/>
              </w:rPr>
              <w:t>Bizonyítási cél, eljárási döntés, elfogadott állítások</w:t>
            </w:r>
          </w:p>
        </w:tc>
        <w:tc>
          <w:tcPr>
            <w:tcW w:type="dxa" w:w="2670"/>
            <w:vAlign w:val="top"/>
          </w:tcPr>
          <w:p>
            <w:pPr>
              <w:pStyle w:val="TableText"/>
            </w:pPr>
            <w:r>
              <w:rPr>
                <w:b w:val="0"/>
              </w:rPr>
              <w:t>1–2 fő</w:t>
            </w:r>
          </w:p>
        </w:tc>
      </w:tr>
      <w:tr>
        <w:trPr>
          <w:cantSplit/>
        </w:trPr>
        <w:tc>
          <w:tcPr>
            <w:tcW w:type="dxa" w:w="2700"/>
            <w:vAlign w:val="top"/>
          </w:tcPr>
          <w:p>
            <w:pPr>
              <w:pStyle w:val="TableText"/>
            </w:pPr>
            <w:r>
              <w:rPr>
                <w:b w:val="0"/>
              </w:rPr>
              <w:t>Nyomozói és pénzügyi elemzői csapat</w:t>
            </w:r>
          </w:p>
        </w:tc>
        <w:tc>
          <w:tcPr>
            <w:tcW w:type="dxa" w:w="3990"/>
            <w:vAlign w:val="top"/>
          </w:tcPr>
          <w:p>
            <w:pPr>
              <w:pStyle w:val="TableText"/>
            </w:pPr>
            <w:r>
              <w:rPr>
                <w:b w:val="0"/>
              </w:rPr>
              <w:t>Tényrekonstrukció, címkézés, találatellenőrzés</w:t>
            </w:r>
          </w:p>
        </w:tc>
        <w:tc>
          <w:tcPr>
            <w:tcW w:type="dxa" w:w="2670"/>
            <w:vAlign w:val="top"/>
          </w:tcPr>
          <w:p>
            <w:pPr>
              <w:pStyle w:val="TableText"/>
            </w:pPr>
            <w:r>
              <w:rPr>
                <w:b w:val="0"/>
              </w:rPr>
              <w:t>3–4 fő</w:t>
            </w:r>
          </w:p>
        </w:tc>
      </w:tr>
      <w:tr>
        <w:trPr>
          <w:cantSplit/>
        </w:trPr>
        <w:tc>
          <w:tcPr>
            <w:tcW w:type="dxa" w:w="2700"/>
            <w:vAlign w:val="top"/>
          </w:tcPr>
          <w:p>
            <w:pPr>
              <w:pStyle w:val="TableText"/>
            </w:pPr>
            <w:r>
              <w:rPr>
                <w:b w:val="0"/>
              </w:rPr>
              <w:t>Digitális bizonyítéki szakember</w:t>
            </w:r>
          </w:p>
        </w:tc>
        <w:tc>
          <w:tcPr>
            <w:tcW w:type="dxa" w:w="3990"/>
            <w:vAlign w:val="top"/>
          </w:tcPr>
          <w:p>
            <w:pPr>
              <w:pStyle w:val="TableText"/>
            </w:pPr>
            <w:r>
              <w:rPr>
                <w:b w:val="0"/>
              </w:rPr>
              <w:t>Bevitel, eredet, formátum és kezelési lánc</w:t>
            </w:r>
          </w:p>
        </w:tc>
        <w:tc>
          <w:tcPr>
            <w:tcW w:type="dxa" w:w="2670"/>
            <w:vAlign w:val="top"/>
          </w:tcPr>
          <w:p>
            <w:pPr>
              <w:pStyle w:val="TableText"/>
            </w:pPr>
            <w:r>
              <w:rPr>
                <w:b w:val="0"/>
              </w:rPr>
              <w:t>1 fő</w:t>
            </w:r>
          </w:p>
        </w:tc>
      </w:tr>
      <w:tr>
        <w:trPr>
          <w:cantSplit/>
        </w:trPr>
        <w:tc>
          <w:tcPr>
            <w:tcW w:type="dxa" w:w="2700"/>
            <w:vAlign w:val="top"/>
          </w:tcPr>
          <w:p>
            <w:pPr>
              <w:pStyle w:val="TableText"/>
            </w:pPr>
            <w:r>
              <w:rPr>
                <w:b w:val="0"/>
              </w:rPr>
              <w:t>Adat- és AI-fejlesztő</w:t>
            </w:r>
          </w:p>
        </w:tc>
        <w:tc>
          <w:tcPr>
            <w:tcW w:type="dxa" w:w="3990"/>
            <w:vAlign w:val="top"/>
          </w:tcPr>
          <w:p>
            <w:pPr>
              <w:pStyle w:val="TableText"/>
            </w:pPr>
            <w:r>
              <w:rPr>
                <w:b w:val="0"/>
              </w:rPr>
              <w:t>Integráció, keresés, mérés, hibakezelés</w:t>
            </w:r>
          </w:p>
        </w:tc>
        <w:tc>
          <w:tcPr>
            <w:tcW w:type="dxa" w:w="2670"/>
            <w:vAlign w:val="top"/>
          </w:tcPr>
          <w:p>
            <w:pPr>
              <w:pStyle w:val="TableText"/>
            </w:pPr>
            <w:r>
              <w:rPr>
                <w:b w:val="0"/>
              </w:rPr>
              <w:t>2 fő</w:t>
            </w:r>
          </w:p>
        </w:tc>
      </w:tr>
      <w:tr>
        <w:trPr>
          <w:cantSplit/>
        </w:trPr>
        <w:tc>
          <w:tcPr>
            <w:tcW w:type="dxa" w:w="2700"/>
            <w:vAlign w:val="top"/>
          </w:tcPr>
          <w:p>
            <w:pPr>
              <w:pStyle w:val="TableText"/>
            </w:pPr>
            <w:r>
              <w:rPr>
                <w:b w:val="0"/>
              </w:rPr>
              <w:t>Adatvédelmi és biztonsági szakértő</w:t>
            </w:r>
          </w:p>
        </w:tc>
        <w:tc>
          <w:tcPr>
            <w:tcW w:type="dxa" w:w="3990"/>
            <w:vAlign w:val="top"/>
          </w:tcPr>
          <w:p>
            <w:pPr>
              <w:pStyle w:val="TableText"/>
            </w:pPr>
            <w:r>
              <w:rPr>
                <w:b w:val="0"/>
              </w:rPr>
              <w:t>Jogi adatfolyam, hozzáférés, incidens és megfelelőség</w:t>
            </w:r>
          </w:p>
        </w:tc>
        <w:tc>
          <w:tcPr>
            <w:tcW w:type="dxa" w:w="2670"/>
            <w:vAlign w:val="top"/>
          </w:tcPr>
          <w:p>
            <w:pPr>
              <w:pStyle w:val="TableText"/>
            </w:pPr>
            <w:r>
              <w:rPr>
                <w:b w:val="0"/>
              </w:rPr>
              <w:t>Együtt 0,5–1 fő</w:t>
            </w:r>
          </w:p>
        </w:tc>
      </w:tr>
      <w:tr>
        <w:trPr>
          <w:cantSplit/>
        </w:trPr>
        <w:tc>
          <w:tcPr>
            <w:tcW w:type="dxa" w:w="2700"/>
            <w:vAlign w:val="top"/>
          </w:tcPr>
          <w:p>
            <w:pPr>
              <w:pStyle w:val="TableText"/>
            </w:pPr>
            <w:r>
              <w:rPr>
                <w:b w:val="0"/>
              </w:rPr>
              <w:t>Projekt- és minőségfelelős</w:t>
            </w:r>
          </w:p>
        </w:tc>
        <w:tc>
          <w:tcPr>
            <w:tcW w:type="dxa" w:w="3990"/>
            <w:vAlign w:val="top"/>
          </w:tcPr>
          <w:p>
            <w:pPr>
              <w:pStyle w:val="TableText"/>
            </w:pPr>
            <w:r>
              <w:rPr>
                <w:b w:val="0"/>
              </w:rPr>
              <w:t>Feladatok, időmérés, tesztjegyzőkönyv, döntési anyag</w:t>
            </w:r>
          </w:p>
        </w:tc>
        <w:tc>
          <w:tcPr>
            <w:tcW w:type="dxa" w:w="2670"/>
            <w:vAlign w:val="top"/>
          </w:tcPr>
          <w:p>
            <w:pPr>
              <w:pStyle w:val="TableText"/>
            </w:pPr>
            <w:r>
              <w:rPr>
                <w:b w:val="0"/>
              </w:rPr>
              <w:t>0,5–1 fő</w:t>
            </w:r>
          </w:p>
        </w:tc>
      </w:tr>
    </w:tbl>
    <w:p>
      <w:pPr>
        <w:spacing w:after="80"/>
      </w:pPr>
    </w:p>
    <w:p>
      <w:pPr/>
      <w:r>
        <w:rPr>
          <w:b w:val="0"/>
        </w:rPr>
        <w:t>A szakértői piaci értékelés, fordítás, rendszerüzemeltetés, közbeszerzés és intézményi jogi támogatás ezen felül vagy más szervezeti kapacitásból szükséges lehet. A fejlesztő nem válhat a jogi elfogadási teszt egyedüli bírájává; a szakmai tulajdonosnak legyen joga a bevezetést megtagadni.</w:t>
      </w:r>
    </w:p>
    <w:p>
      <w:pPr>
        <w:pStyle w:val="Heading2"/>
      </w:pPr>
      <w:r>
        <w:rPr>
          <w:b w:val="0"/>
        </w:rPr>
        <w:t>4.5. Költségmodell: mit kell összehasonlítani?</w:t>
      </w:r>
      <w:bookmarkStart w:id="67" w:name="chapter4-h39"/>
      <w:bookmarkEnd w:id="67"/>
    </w:p>
    <w:p>
      <w:pPr/>
      <w:r>
        <w:rPr>
          <w:b w:val="0"/>
        </w:rPr>
        <w:t>Árajánlat nélkül felelős forintösszeg nem adható a teljes rendszerre. A következő képlet viszont alkalmas összehasonlítható ajánlatkérésre:</w:t>
      </w:r>
    </w:p>
    <w:p>
      <w:pPr/>
      <w:r>
        <w:rPr>
          <w:b/>
        </w:rPr>
        <w:t>Teljes éves költség = licenc + adatbevitel és tárolás + AI-feldolgozás + infrastruktúra + integráció + biztonság és megfelelőség + emberi felülvizsgálat + képzés + támogatás + kilépés és adatexport.</w:t>
      </w:r>
    </w:p>
    <w:p>
      <w:pPr/>
      <w:r>
        <w:rPr>
          <w:b w:val="0"/>
        </w:rPr>
        <w:t>Minden gyártó ugyanarra a három forgatókönyvre adjon ajánlatot: kis próba; közepes éves ügyterhelés; csúcsterhelés. Rögzíteni kell a nyers és feldolgozott adatmennyiséget, felhasználókat, hangórákat, egyidejű feldolgozásokat, újrafuttatásokat, megőrzést és mentést. Egy olcsóbb licenc drágábbá válhat, ha az OCR, index és AI-feldolgozás mind külön díjas.</w:t>
      </w:r>
    </w:p>
    <w:p>
      <w:pPr/>
      <w:r>
        <w:rPr>
          <w:b/>
        </w:rPr>
        <w:t>Szemléltető megtérülési számítás:</w:t>
      </w:r>
      <w:r>
        <w:rPr>
          <w:b w:val="0"/>
        </w:rPr>
        <w:t xml:space="preserve"> a korábbi 3000 órás iratáttekintés 1583 órára csökkenése 1417 óra felszabadulását jelentené. Ha kizárólag a számításhoz 15 000 Ft/óra teljes munkaköltséget feltételezünk, ennek kapacitásértéke 21,255 millió Ft. Ez nem ellenőrzött ügyészségi bérköltség, nem készpénzes megtakarítás, és még le kell vonni az adott ügyre jutó technológiai és üzemeltetési költséget. Ha a felszabaduló időt más ügyben használják fel, az eredmény több elvégezhető munka, nem feltétlenül kisebb költségvetés.</w:t>
      </w:r>
    </w:p>
    <w:p>
      <w:pPr/>
      <w:r>
        <w:rPr>
          <w:b w:val="0"/>
        </w:rPr>
        <w:t>Külön értékelendő az adatvesztés vagy késedelmes vagyonbiztosítás elkerülése, de a feltételezett megmentett milliárdokat nem szabad bizonyíték nélkül az AI-nak tulajdonítani. Lefoglalt, zár alá vett, elkobzott és ténylegesen visszatérült vagyon külön mutató.</w:t>
      </w:r>
    </w:p>
    <w:p>
      <w:pPr>
        <w:pStyle w:val="Heading2"/>
      </w:pPr>
      <w:r>
        <w:rPr>
          <w:b w:val="0"/>
        </w:rPr>
        <w:t>4.6. Beszerzési ellenőrzőlista</w:t>
      </w:r>
      <w:bookmarkStart w:id="68" w:name="chapter4-h45"/>
      <w:bookmarkEnd w:id="68"/>
    </w:p>
    <w:p>
      <w:pPr/>
      <w:r>
        <w:rPr>
          <w:b w:val="0"/>
        </w:rPr>
        <w:t>Az alábbi kérdésekre bemutató helyett szerződéses választ és ellenőrizhető próbát kell kérni:</w:t>
      </w:r>
    </w:p>
    <w:p>
      <w:pPr>
        <w:pStyle w:val="ListNumber"/>
        <w:numPr>
          <w:ilvl w:val="0"/>
          <w:numId w:val="20"/>
        </w:numPr>
      </w:pPr>
      <w:r>
        <w:rPr>
          <w:b w:val="0"/>
        </w:rPr>
        <w:t>Mely funkció működik a magyar tesztállományon; mely nyelvi és fájltípus-korlátokat vállalja a szolgáltató?</w:t>
      </w:r>
    </w:p>
    <w:p>
      <w:pPr>
        <w:pStyle w:val="ListNumber"/>
        <w:numPr>
          <w:ilvl w:val="0"/>
          <w:numId w:val="20"/>
        </w:numPr>
      </w:pPr>
      <w:r>
        <w:rPr>
          <w:b w:val="0"/>
        </w:rPr>
        <w:t>Hol történik minden egyes feldolgozási lépés, modellhívás, mentés és támogatói hozzáférés? Kik az alfeldolgozók?</w:t>
      </w:r>
    </w:p>
    <w:p>
      <w:pPr>
        <w:pStyle w:val="ListNumber"/>
        <w:numPr>
          <w:ilvl w:val="0"/>
          <w:numId w:val="20"/>
        </w:numPr>
      </w:pPr>
      <w:r>
        <w:rPr>
          <w:b w:val="0"/>
        </w:rPr>
        <w:t>Mi tiltja és technikailag mi akadályozza az ügyiratok tanítási vagy másodlagos felhasználását?</w:t>
      </w:r>
    </w:p>
    <w:p>
      <w:pPr>
        <w:pStyle w:val="ListNumber"/>
        <w:numPr>
          <w:ilvl w:val="0"/>
          <w:numId w:val="20"/>
        </w:numPr>
      </w:pPr>
      <w:r>
        <w:rPr>
          <w:b w:val="0"/>
        </w:rPr>
        <w:t>Megőrizhető-e az eredeti, a származtatott szöveg, a találat, a modellverzió és az emberi döntés teljes kapcsolata?</w:t>
      </w:r>
    </w:p>
    <w:p>
      <w:pPr>
        <w:pStyle w:val="ListNumber"/>
        <w:numPr>
          <w:ilvl w:val="0"/>
          <w:numId w:val="20"/>
        </w:numPr>
      </w:pPr>
      <w:r>
        <w:rPr>
          <w:b w:val="0"/>
        </w:rPr>
        <w:t>A hozzáférési korlátozás a keresőindexre, AI-válaszra, naplóra és exportra is kiterjed-e?</w:t>
      </w:r>
    </w:p>
    <w:p>
      <w:pPr>
        <w:pStyle w:val="ListNumber"/>
        <w:numPr>
          <w:ilvl w:val="0"/>
          <w:numId w:val="20"/>
        </w:numPr>
      </w:pPr>
      <w:r>
        <w:rPr>
          <w:b w:val="0"/>
        </w:rPr>
        <w:t>Megjelennek-e a be nem olvasott, részlegesen olvasott, titkosított vagy hibás fájlok és hiányzó csatolmányok?</w:t>
      </w:r>
    </w:p>
    <w:p>
      <w:pPr>
        <w:pStyle w:val="ListNumber"/>
        <w:numPr>
          <w:ilvl w:val="0"/>
          <w:numId w:val="20"/>
        </w:numPr>
      </w:pPr>
      <w:r>
        <w:rPr>
          <w:b w:val="0"/>
        </w:rPr>
        <w:t>Milyen frissítés változtathatja meg az eredményeket; lehet-e verziót rögzíteni és újratesztelést követelni?</w:t>
      </w:r>
    </w:p>
    <w:p>
      <w:pPr>
        <w:pStyle w:val="ListNumber"/>
        <w:numPr>
          <w:ilvl w:val="0"/>
          <w:numId w:val="20"/>
        </w:numPr>
      </w:pPr>
      <w:r>
        <w:rPr>
          <w:b w:val="0"/>
        </w:rPr>
        <w:t>Kié a címke, bizonyítási mátrix, elemzési napló és saját sablon? Visszaadható-e mindez nyílt, dokumentált formátumban?</w:t>
      </w:r>
    </w:p>
    <w:p>
      <w:pPr>
        <w:pStyle w:val="ListNumber"/>
        <w:numPr>
          <w:ilvl w:val="0"/>
          <w:numId w:val="20"/>
        </w:numPr>
      </w:pPr>
      <w:r>
        <w:rPr>
          <w:b w:val="0"/>
        </w:rPr>
        <w:t>Mi történik a szerződés végén, incidensnél, szolgáltatóváltásnál és a mentési megőrzés lejártakor?</w:t>
      </w:r>
    </w:p>
    <w:p>
      <w:pPr>
        <w:pStyle w:val="ListNumber"/>
        <w:numPr>
          <w:ilvl w:val="0"/>
          <w:numId w:val="20"/>
        </w:numPr>
      </w:pPr>
      <w:r>
        <w:rPr>
          <w:b w:val="0"/>
        </w:rPr>
        <w:t>Mely AI Act-szerepet és dokumentációt vállalja a gyártó, és mi marad az intézménynél?</w:t>
      </w:r>
    </w:p>
    <w:p>
      <w:pPr>
        <w:pStyle w:val="ListNumber"/>
        <w:numPr>
          <w:ilvl w:val="0"/>
          <w:numId w:val="20"/>
        </w:numPr>
      </w:pPr>
      <w:r>
        <w:rPr>
          <w:b w:val="0"/>
        </w:rPr>
        <w:t>Milyen valós referencia ellenőrizhető; a bemutatott eredmény gyártói állítás vagy független mérés?</w:t>
      </w:r>
    </w:p>
    <w:p>
      <w:pPr>
        <w:pStyle w:val="ListNumber"/>
        <w:numPr>
          <w:ilvl w:val="0"/>
          <w:numId w:val="20"/>
        </w:numPr>
      </w:pPr>
      <w:r>
        <w:rPr>
          <w:b w:val="0"/>
        </w:rPr>
        <w:t>Mennyibe kerül a teljes életciklus azonos adatmennyiségnél, nem csak az első próba?</w:t>
      </w:r>
    </w:p>
    <w:p>
      <w:pPr>
        <w:pStyle w:val="Heading2"/>
      </w:pPr>
      <w:r>
        <w:rPr>
          <w:b w:val="0"/>
        </w:rPr>
        <w:t>4.7. Hat–tizenkét hónapos folytatás</w:t>
      </w:r>
      <w:bookmarkStart w:id="69" w:name="chapter4-h48"/>
      <w:bookmarkEnd w:id="69"/>
    </w:p>
    <w:p>
      <w:pPr/>
      <w:r>
        <w:rPr>
          <w:b/>
        </w:rPr>
        <w:t>4–6. hónap:</w:t>
      </w:r>
      <w:r>
        <w:rPr>
          <w:b w:val="0"/>
        </w:rPr>
        <w:t xml:space="preserve"> csak az elfogadott funkciók kiterjesztése néhány ügycsoportra; integráció a meglévő iratkezeléssel; export a szakértői és ügyészi munkához; heti hibafeldolgozás. Az első használati tapasztalatok alapján frissítendő a bizonyítási mátrix és az oktatás.</w:t>
      </w:r>
    </w:p>
    <w:p>
      <w:pPr/>
      <w:r>
        <w:rPr>
          <w:b/>
        </w:rPr>
        <w:t>7–12. hónap:</w:t>
      </w:r>
      <w:r>
        <w:rPr>
          <w:b w:val="0"/>
        </w:rPr>
        <w:t xml:space="preserve"> több ügyre kiterjedő mérés, magyar beszéd- és névfeldolgozás javítása, ügyek közötti jogszerű kapcsolatkeresés külön engedélyezési renddel, beszállítói alternatíva és helyreállítási próba. A rendszer teljesítményét modellfrissítés, új adattípus és új ügycsoport után ismét vizsgálni kell.</w:t>
      </w:r>
    </w:p>
    <w:p>
      <w:pPr/>
      <w:r>
        <w:rPr>
          <w:b/>
        </w:rPr>
        <w:t>Bővítés előfeltétele:</w:t>
      </w:r>
      <w:r>
        <w:rPr>
          <w:b w:val="0"/>
        </w:rPr>
        <w:t xml:space="preserve"> igazolt minőség és nettó időnyereség; megfelelő emberi kapacitás; fenntartható üzemeltetés; rendezett jogi besorolás. A nagyobb adatbázis önmagában nem érettség.</w:t>
      </w:r>
    </w:p>
    <w:p>
      <w:pPr>
        <w:pStyle w:val="Heading2"/>
      </w:pPr>
      <w:r>
        <w:rPr>
          <w:b w:val="0"/>
        </w:rPr>
        <w:t>4.8. Másolható belső munkalapok</w:t>
      </w:r>
      <w:bookmarkStart w:id="70" w:name="chapter4-h52"/>
      <w:bookmarkEnd w:id="70"/>
    </w:p>
    <w:p>
      <w:pPr>
        <w:pStyle w:val="Heading3"/>
      </w:pPr>
      <w:r>
        <w:rPr>
          <w:b w:val="0"/>
        </w:rPr>
        <w:t>A. Ügyindító lap</w:t>
      </w:r>
      <w:bookmarkStart w:id="71" w:name="chapter4-h53"/>
      <w:bookmarkEnd w:id="71"/>
    </w:p>
    <w:p>
      <w:pPr>
        <w:pStyle w:val="ListBullet"/>
        <w:numPr>
          <w:ilvl w:val="0"/>
          <w:numId w:val="21"/>
        </w:numPr>
      </w:pPr>
      <w:r>
        <w:rPr>
          <w:b w:val="0"/>
        </w:rPr>
        <w:t>Ügyazonosító, eljáró szerv, felelős ügyész/nyomozó, jogszabályi időállapot.</w:t>
      </w:r>
    </w:p>
    <w:p>
      <w:pPr>
        <w:pStyle w:val="ListBullet"/>
        <w:numPr>
          <w:ilvl w:val="0"/>
          <w:numId w:val="21"/>
        </w:numPr>
      </w:pPr>
      <w:r>
        <w:rPr>
          <w:b w:val="0"/>
        </w:rPr>
        <w:t>Cselekmény, időszak, közpénzforrás, érintett szerződés vagy döntés.</w:t>
      </w:r>
    </w:p>
    <w:p>
      <w:pPr>
        <w:pStyle w:val="ListBullet"/>
        <w:numPr>
          <w:ilvl w:val="0"/>
          <w:numId w:val="21"/>
        </w:numPr>
      </w:pPr>
      <w:r>
        <w:rPr>
          <w:b w:val="0"/>
        </w:rPr>
        <w:t>Kiinduló állítás és forrása; mi ellenőrzött, mi hallomás vagy következtetés?</w:t>
      </w:r>
    </w:p>
    <w:p>
      <w:pPr>
        <w:pStyle w:val="ListBullet"/>
        <w:numPr>
          <w:ilvl w:val="0"/>
          <w:numId w:val="21"/>
        </w:numPr>
      </w:pPr>
      <w:r>
        <w:rPr>
          <w:b w:val="0"/>
        </w:rPr>
        <w:t>Lehetséges minősítések és legalább egy érdemi alternatív magyarázat.</w:t>
      </w:r>
    </w:p>
    <w:p>
      <w:pPr>
        <w:pStyle w:val="ListBullet"/>
        <w:numPr>
          <w:ilvl w:val="0"/>
          <w:numId w:val="21"/>
        </w:numPr>
      </w:pPr>
      <w:r>
        <w:rPr>
          <w:b w:val="0"/>
        </w:rPr>
        <w:t>Elévülés, hatáskör, mentelmi vagy más eljárási akadály vizsgálata.</w:t>
      </w:r>
    </w:p>
    <w:p>
      <w:pPr>
        <w:pStyle w:val="ListBullet"/>
        <w:numPr>
          <w:ilvl w:val="0"/>
          <w:numId w:val="21"/>
        </w:numPr>
      </w:pPr>
      <w:r>
        <w:rPr>
          <w:b w:val="0"/>
        </w:rPr>
        <w:t>Azonnali adatmegőrzési és vagyonvédelmi feladat; jogalap és döntéshozó.</w:t>
      </w:r>
    </w:p>
    <w:p>
      <w:pPr>
        <w:pStyle w:val="ListBullet"/>
        <w:numPr>
          <w:ilvl w:val="0"/>
          <w:numId w:val="21"/>
        </w:numPr>
      </w:pPr>
      <w:r>
        <w:rPr>
          <w:b w:val="0"/>
        </w:rPr>
        <w:t>Hiányzó bizonyíték, beszerzési csatorna, felelős, céldátum.</w:t>
      </w:r>
    </w:p>
    <w:p>
      <w:pPr>
        <w:pStyle w:val="Heading3"/>
      </w:pPr>
      <w:r>
        <w:rPr>
          <w:b w:val="0"/>
        </w:rPr>
        <w:t>B. AI-feldolgozási feladatlap</w:t>
      </w:r>
      <w:bookmarkStart w:id="72" w:name="chapter4-h55"/>
      <w:bookmarkEnd w:id="72"/>
    </w:p>
    <w:p>
      <w:pPr>
        <w:pStyle w:val="ListBullet"/>
        <w:numPr>
          <w:ilvl w:val="0"/>
          <w:numId w:val="22"/>
        </w:numPr>
      </w:pPr>
      <w:r>
        <w:rPr>
          <w:b w:val="0"/>
        </w:rPr>
        <w:t>Pontos kérdés: például „keresd az ajánlati ár előzetes egyeztetésére utaló, ellenőrzendő kommunikációt”.</w:t>
      </w:r>
    </w:p>
    <w:p>
      <w:pPr>
        <w:pStyle w:val="ListBullet"/>
        <w:numPr>
          <w:ilvl w:val="0"/>
          <w:numId w:val="22"/>
        </w:numPr>
      </w:pPr>
      <w:r>
        <w:rPr>
          <w:b w:val="0"/>
        </w:rPr>
        <w:t>Engedélyezett iratkör, időszak, személyi kör és kizárt védett állomány.</w:t>
      </w:r>
    </w:p>
    <w:p>
      <w:pPr>
        <w:pStyle w:val="ListBullet"/>
        <w:numPr>
          <w:ilvl w:val="0"/>
          <w:numId w:val="22"/>
        </w:numPr>
      </w:pPr>
      <w:r>
        <w:rPr>
          <w:b w:val="0"/>
        </w:rPr>
        <w:t>Elvárt válasz: állításjelölt + idézet + forrás + kontextus + alternatíva + hiány.</w:t>
      </w:r>
    </w:p>
    <w:p>
      <w:pPr>
        <w:pStyle w:val="ListBullet"/>
        <w:numPr>
          <w:ilvl w:val="0"/>
          <w:numId w:val="22"/>
        </w:numPr>
      </w:pPr>
      <w:r>
        <w:rPr>
          <w:b w:val="0"/>
        </w:rPr>
        <w:t>Tiltott kimenet: bűnösségi pontszám, kitalált tény, személyiségalapú következtetés.</w:t>
      </w:r>
    </w:p>
    <w:p>
      <w:pPr>
        <w:pStyle w:val="ListBullet"/>
        <w:numPr>
          <w:ilvl w:val="0"/>
          <w:numId w:val="22"/>
        </w:numPr>
      </w:pPr>
      <w:r>
        <w:rPr>
          <w:b w:val="0"/>
        </w:rPr>
        <w:t>Ellenőrző személy, időmérés, hibakategória, negatívminta terve.</w:t>
      </w:r>
    </w:p>
    <w:p>
      <w:pPr>
        <w:pStyle w:val="Heading3"/>
      </w:pPr>
      <w:r>
        <w:rPr>
          <w:b w:val="0"/>
        </w:rPr>
        <w:t>C. Vádemelés előtti technológiai ellenőrzés</w:t>
      </w:r>
      <w:bookmarkStart w:id="73" w:name="chapter4-h57"/>
      <w:bookmarkEnd w:id="73"/>
    </w:p>
    <w:p>
      <w:pPr>
        <w:pStyle w:val="ListBullet"/>
        <w:numPr>
          <w:ilvl w:val="0"/>
          <w:numId w:val="23"/>
        </w:numPr>
      </w:pPr>
      <w:r>
        <w:rPr>
          <w:b w:val="0"/>
        </w:rPr>
        <w:t>Minden lényegi tényállítás ember által ellenőrzött eredeti bizonyítékra épül?</w:t>
      </w:r>
    </w:p>
    <w:p>
      <w:pPr>
        <w:pStyle w:val="ListBullet"/>
        <w:numPr>
          <w:ilvl w:val="0"/>
          <w:numId w:val="23"/>
        </w:numPr>
      </w:pPr>
      <w:r>
        <w:rPr>
          <w:b w:val="0"/>
        </w:rPr>
        <w:t>A terhelő és mentő adatokat egyaránt értékelték, a vitatott pontok láthatók?</w:t>
      </w:r>
    </w:p>
    <w:p>
      <w:pPr>
        <w:pStyle w:val="ListBullet"/>
        <w:numPr>
          <w:ilvl w:val="0"/>
          <w:numId w:val="23"/>
        </w:numPr>
      </w:pPr>
      <w:r>
        <w:rPr>
          <w:b w:val="0"/>
        </w:rPr>
        <w:t>A gépi leirat döntő részeit visszahallgatták, a beszélőket önállóan azonosították?</w:t>
      </w:r>
    </w:p>
    <w:p>
      <w:pPr>
        <w:pStyle w:val="ListBullet"/>
        <w:numPr>
          <w:ilvl w:val="0"/>
          <w:numId w:val="23"/>
        </w:numPr>
      </w:pPr>
      <w:r>
        <w:rPr>
          <w:b w:val="0"/>
        </w:rPr>
        <w:t>A személyek, összegek, pénznemek, dátumok és jogszabályi időállapotok ellenőrzöttek?</w:t>
      </w:r>
    </w:p>
    <w:p>
      <w:pPr>
        <w:pStyle w:val="ListBullet"/>
        <w:numPr>
          <w:ilvl w:val="0"/>
          <w:numId w:val="23"/>
        </w:numPr>
      </w:pPr>
      <w:r>
        <w:rPr>
          <w:b w:val="0"/>
        </w:rPr>
        <w:t>A be nem olvasott állományokat és az AI által nem kiemelt iratok kezelését dokumentálták?</w:t>
      </w:r>
    </w:p>
    <w:p>
      <w:pPr>
        <w:pStyle w:val="ListBullet"/>
        <w:numPr>
          <w:ilvl w:val="0"/>
          <w:numId w:val="23"/>
        </w:numPr>
      </w:pPr>
      <w:r>
        <w:rPr>
          <w:b w:val="0"/>
        </w:rPr>
        <w:t>Rendezett az iratmegismerés, a védett adat és a feldolgozás ellenőrizhetősége?</w:t>
      </w:r>
    </w:p>
    <w:p>
      <w:pPr>
        <w:pStyle w:val="ListBullet"/>
        <w:numPr>
          <w:ilvl w:val="0"/>
          <w:numId w:val="23"/>
        </w:numPr>
      </w:pPr>
      <w:r>
        <w:rPr>
          <w:b w:val="0"/>
        </w:rPr>
        <w:t>A jogi döntés indoka a bizonyítékból következik, és nem a modell véleményéből?</w:t>
      </w:r>
    </w:p>
    <w:p>
      <w:pPr>
        <w:pStyle w:val="Heading2"/>
      </w:pPr>
      <w:r>
        <w:rPr>
          <w:b w:val="0"/>
        </w:rPr>
        <w:t>4.9. Milyen döntés hozható meg most?</w:t>
      </w:r>
      <w:bookmarkStart w:id="74" w:name="chapter4-h59"/>
      <w:bookmarkEnd w:id="74"/>
    </w:p>
    <w:p>
      <w:pPr/>
      <w:r>
        <w:rPr>
          <w:b w:val="0"/>
        </w:rPr>
        <w:t>Indokolt egy szűk, ellenőrizhető, kilencvennapos próba előkészítése a meglévő adat- és iratkezelési képességek felmérésével. Az első jóváhagyás tárgya a bizonyítási munkafolyamat, a tesztanyag, az adatbiztonsági terv és a mérési kapuk legyenek. A konkrét gyártó és a nagyobb keretösszeg kiválasztása ezután következzen.</w:t>
      </w:r>
    </w:p>
    <w:p>
      <w:pPr/>
      <w:r>
        <w:rPr>
          <w:b w:val="0"/>
        </w:rPr>
        <w:t>A következő egyeztetéshez öt adat szükséges: ügytípusok és mennyiségek; meglévő rendszerek; hozzáférhető adatforrások; tényleges feladatidők és várakozások; kijelölhető szakmai csapat. Ezek nélkül is elindítható a módszertani tervezés, de megbízható szállítóválasztás és költségvállalás nem.</w:t>
      </w:r>
    </w:p>
    <w:p>
      <w:r>
        <w:br w:type="page"/>
      </w:r>
    </w:p>
    <w:p>
      <w:pPr>
        <w:pStyle w:val="Heading1"/>
      </w:pPr>
      <w:r>
        <w:rPr>
          <w:b w:val="0"/>
        </w:rPr>
        <w:t>5. Forrásjegyzék és kutatási korlátok</w:t>
      </w:r>
      <w:bookmarkStart w:id="75" w:name="chapter5"/>
      <w:bookmarkEnd w:id="75"/>
    </w:p>
    <w:p>
      <w:pPr>
        <w:pStyle w:val="SourceText"/>
      </w:pPr>
      <w:r>
        <w:rPr>
          <w:b/>
        </w:rPr>
        <w:t>Ellenőrzés és lezárás: 2026. augusztus 30.</w:t>
      </w:r>
      <w:r>
        <w:rPr>
          <w:b w:val="0"/>
        </w:rPr>
        <w:t xml:space="preserve"> A hivatkozásoknál a jogszabályok elsődlegesek; indokolás, ítélkezési példa, intézményi ismertető és gyártói állítás eltérő bizonyító erővel bír. A szögletes zárójelben szereplő F-számok az alábbi tételekre mutatnak. Az F11–F13 típusú jelölés a köztes tételeket is jelenti.</w:t>
      </w:r>
    </w:p>
    <w:p>
      <w:pPr>
        <w:pStyle w:val="SourceText"/>
      </w:pPr>
      <w:r>
        <w:rPr>
          <w:b w:val="0"/>
        </w:rPr>
        <w:t>Az NJT és Jogtár általános hivatkozásai idővel új időállapotot mutathatnak. Bevezetési döntéshez az alkalmazott szövegváltozatot és az ellenőrzés dátumát külön jogi nyilvántartásban kell rögzíteni. A munkában internetes szövegellenőrzés történt; a teljes weboldal- és jogforrásállomány hiteles archiválása nem része a csomagnak.</w:t>
      </w:r>
    </w:p>
    <w:p>
      <w:pPr>
        <w:pStyle w:val="Heading2"/>
      </w:pPr>
      <w:r>
        <w:rPr>
          <w:b w:val="0"/>
        </w:rPr>
        <w:t>5.1. Magyar intézmények és eljárási keret</w:t>
      </w:r>
      <w:bookmarkStart w:id="76" w:name="chapter5-h3"/>
      <w:bookmarkEnd w:id="76"/>
    </w:p>
    <w:p>
      <w:pPr>
        <w:pStyle w:val="SourceText"/>
      </w:pPr>
      <w:bookmarkStart w:id="77" w:name="F01"/>
      <w:bookmarkEnd w:id="77"/>
      <w:r>
        <w:rPr>
          <w:b/>
        </w:rPr>
        <w:t>[F01] 2026. évi XXXIV. törvény az NVVH-ról – Nemzeti Jogszabálytár.</w:t>
      </w:r>
      <w:r>
        <w:rPr>
          <w:b w:val="0"/>
        </w:rPr>
        <w:t xml:space="preserve"> Lényeges helyek: 1–6. §, 18. §, 61–63. §. A hivatal funkciói, az ügyészi jogosultság személyi feltétele, adatkezelés és lépcsőzetes hatálybalépés. A kutatásban jelzett NJT-időállapot: 2026. augusztus 26.</w:t>
      </w:r>
    </w:p>
    <w:p>
      <w:pPr>
        <w:pStyle w:val="SourceText"/>
      </w:pPr>
      <w:hyperlink r:id="rId11">
        <w:r>
          <w:rPr>
            <w:color w:val="21618C"/>
          </w:rPr>
          <w:t>Jogszabály megnyitása</w:t>
        </w:r>
      </w:hyperlink>
    </w:p>
    <w:p>
      <w:pPr>
        <w:pStyle w:val="SourceText"/>
      </w:pPr>
      <w:bookmarkStart w:id="78" w:name="F02"/>
      <w:bookmarkEnd w:id="78"/>
      <w:r>
        <w:rPr>
          <w:b/>
        </w:rPr>
        <w:t>[F02] 2026. évi XXXIV. törvény kihirdetett szövege – Országgyűlési Jogtár.</w:t>
      </w:r>
      <w:r>
        <w:rPr>
          <w:b w:val="0"/>
        </w:rPr>
        <w:t xml:space="preserve"> Az alapító rendelkezések és a 63. § hatálybalépési szabályának kiegészítő ellenőrzése; nem helyettesíti az egységes szerkezetű, alkalmazási időponthoz kötött szöveget.</w:t>
      </w:r>
    </w:p>
    <w:p>
      <w:pPr>
        <w:pStyle w:val="SourceText"/>
      </w:pPr>
      <w:hyperlink r:id="rId12">
        <w:r>
          <w:rPr>
            <w:color w:val="21618C"/>
          </w:rPr>
          <w:t>Kihirdetett törvény</w:t>
        </w:r>
      </w:hyperlink>
    </w:p>
    <w:p>
      <w:pPr>
        <w:pStyle w:val="SourceText"/>
      </w:pPr>
      <w:bookmarkStart w:id="79" w:name="F03"/>
      <w:bookmarkEnd w:id="79"/>
      <w:r>
        <w:rPr>
          <w:b/>
        </w:rPr>
        <w:t>[F03] Országgyűlés Hivatala: Elkobzás és vagyonvisszaszerzés, 2025/31. Infojegyzet.</w:t>
      </w:r>
      <w:r>
        <w:rPr>
          <w:b w:val="0"/>
        </w:rPr>
        <w:t xml:space="preserve"> Történeti rendőrségi és uniós háttér; a 2024/1260 irányelv ismertetése. Nem az új NVVH működési leírása.</w:t>
      </w:r>
    </w:p>
    <w:p>
      <w:pPr>
        <w:pStyle w:val="SourceText"/>
      </w:pPr>
      <w:hyperlink r:id="rId13">
        <w:r>
          <w:rPr>
            <w:color w:val="21618C"/>
          </w:rPr>
          <w:t>Infojegyzet</w:t>
        </w:r>
      </w:hyperlink>
    </w:p>
    <w:p>
      <w:pPr>
        <w:pStyle w:val="SourceText"/>
      </w:pPr>
      <w:bookmarkStart w:id="80" w:name="F04"/>
      <w:bookmarkEnd w:id="80"/>
      <w:r>
        <w:rPr>
          <w:b/>
        </w:rPr>
        <w:t>[F04] 2017. évi XC. törvény a büntetőeljárásról – NJT.</w:t>
      </w:r>
      <w:r>
        <w:rPr>
          <w:b w:val="0"/>
        </w:rPr>
        <w:t xml:space="preserve"> Alapelvek, ügyészi és nyomozó hatósági szerep, bizonyítás, iratmegismerés, nyomozás és vádemelés. A konkrét határidők ellenőrzéséhez F15 is szükséges.</w:t>
      </w:r>
    </w:p>
    <w:p>
      <w:pPr>
        <w:pStyle w:val="SourceText"/>
      </w:pPr>
      <w:hyperlink r:id="rId14">
        <w:r>
          <w:rPr>
            <w:color w:val="21618C"/>
          </w:rPr>
          <w:t>Be.</w:t>
        </w:r>
      </w:hyperlink>
    </w:p>
    <w:p>
      <w:pPr>
        <w:pStyle w:val="SourceText"/>
      </w:pPr>
      <w:bookmarkStart w:id="81" w:name="F05"/>
      <w:bookmarkEnd w:id="81"/>
      <w:r>
        <w:rPr>
          <w:b/>
        </w:rPr>
        <w:t>[F05] Ügyészség: Az ügyészség feladata.</w:t>
      </w:r>
      <w:r>
        <w:rPr>
          <w:b w:val="0"/>
        </w:rPr>
        <w:t xml:space="preserve"> Általános intézményi ismertető a büntetőjogi és további feladatokról. Az új NVVH különös jogállását nem ebből kell levezetni.</w:t>
      </w:r>
    </w:p>
    <w:p>
      <w:pPr>
        <w:pStyle w:val="SourceText"/>
      </w:pPr>
      <w:hyperlink r:id="rId15">
        <w:r>
          <w:rPr>
            <w:color w:val="21618C"/>
          </w:rPr>
          <w:t>Feladatismertető</w:t>
        </w:r>
      </w:hyperlink>
    </w:p>
    <w:p>
      <w:pPr>
        <w:pStyle w:val="SourceText"/>
      </w:pPr>
      <w:bookmarkStart w:id="82" w:name="F06"/>
      <w:bookmarkEnd w:id="82"/>
      <w:r>
        <w:rPr>
          <w:b/>
        </w:rPr>
        <w:t>[F06] A 2026. évi XXXIV. törvény indokolása – NJT.</w:t>
      </w:r>
      <w:r>
        <w:rPr>
          <w:b w:val="0"/>
        </w:rPr>
        <w:t xml:space="preserve"> Az új hivatal vizsgálati és büntetőeljárási szerepének jogalkotói magyarázata. Indokolás, nem önálló hatáskört keletkeztető norma.</w:t>
      </w:r>
    </w:p>
    <w:p>
      <w:pPr>
        <w:pStyle w:val="SourceText"/>
      </w:pPr>
      <w:hyperlink r:id="rId16">
        <w:r>
          <w:rPr>
            <w:color w:val="21618C"/>
          </w:rPr>
          <w:t>Indokolás</w:t>
        </w:r>
      </w:hyperlink>
    </w:p>
    <w:p>
      <w:pPr>
        <w:pStyle w:val="SourceText"/>
      </w:pPr>
      <w:bookmarkStart w:id="83" w:name="F07"/>
      <w:bookmarkEnd w:id="83"/>
      <w:r>
        <w:rPr>
          <w:b/>
        </w:rPr>
        <w:t>[F07] 1996. évi LVII. törvény, Tpvt. – NJT.</w:t>
      </w:r>
      <w:r>
        <w:rPr>
          <w:b w:val="0"/>
        </w:rPr>
        <w:t xml:space="preserve"> Különösen 11. §, 21–22. §; kartell, erőfölény és versenyfelügyeleti keret. Az uniós versenyjogi párhuzamoknál az EUMSZ 101–102. cikke is releváns.</w:t>
      </w:r>
    </w:p>
    <w:p>
      <w:pPr>
        <w:pStyle w:val="SourceText"/>
      </w:pPr>
      <w:hyperlink r:id="rId17">
        <w:r>
          <w:rPr>
            <w:color w:val="21618C"/>
          </w:rPr>
          <w:t>Tpvt.</w:t>
        </w:r>
      </w:hyperlink>
    </w:p>
    <w:p>
      <w:pPr>
        <w:pStyle w:val="SourceText"/>
      </w:pPr>
      <w:bookmarkStart w:id="84" w:name="F08"/>
      <w:bookmarkEnd w:id="84"/>
      <w:r>
        <w:rPr>
          <w:b/>
        </w:rPr>
        <w:t>[F08] 2012. évi C. törvény, Btk. – NJT és Jogtár.</w:t>
      </w:r>
      <w:r>
        <w:rPr>
          <w:b w:val="0"/>
        </w:rPr>
        <w:t xml:space="preserve"> Különösen 290–291., 293–294., 298–299., 305., 376–377., 396., 399–400. és 420. §; kapcsolódó okirati és vagyoni tényállások. A teljes bekezdés és elkövetéskori szöveg ügyenként ellenőrzendő.</w:t>
      </w:r>
    </w:p>
    <w:p>
      <w:pPr>
        <w:pStyle w:val="SourceText"/>
      </w:pPr>
      <w:hyperlink r:id="rId18">
        <w:r>
          <w:rPr>
            <w:color w:val="21618C"/>
          </w:rPr>
          <w:t>Btk. az NJT-ben</w:t>
        </w:r>
      </w:hyperlink>
      <w:r>
        <w:rPr>
          <w:b w:val="0"/>
        </w:rPr>
        <w:t xml:space="preserve"> · </w:t>
      </w:r>
      <w:hyperlink r:id="rId19">
        <w:r>
          <w:rPr>
            <w:color w:val="21618C"/>
          </w:rPr>
          <w:t>Btk. PDF</w:t>
        </w:r>
      </w:hyperlink>
    </w:p>
    <w:p>
      <w:pPr>
        <w:pStyle w:val="SourceText"/>
      </w:pPr>
      <w:bookmarkStart w:id="85" w:name="F09"/>
      <w:bookmarkEnd w:id="85"/>
      <w:r>
        <w:rPr>
          <w:b/>
        </w:rPr>
        <w:t>[F09] 2015. évi CXLIII. törvény, Kbt. – NJT.</w:t>
      </w:r>
      <w:r>
        <w:rPr>
          <w:b w:val="0"/>
        </w:rPr>
        <w:t xml:space="preserve"> Közbeszerzési eljárás, szerződés, kizáró okok és jogorvoslat. Az ellenőrzött időállapot dátuma 2026. június 27.; ez a zárónapon elért változat, nem külön állítás későbbi módosítás hiányáról.</w:t>
      </w:r>
    </w:p>
    <w:p>
      <w:pPr>
        <w:pStyle w:val="SourceText"/>
      </w:pPr>
      <w:hyperlink r:id="rId20">
        <w:r>
          <w:rPr>
            <w:color w:val="21618C"/>
          </w:rPr>
          <w:t>Kbt., ellenőrzött változat</w:t>
        </w:r>
      </w:hyperlink>
    </w:p>
    <w:p>
      <w:pPr>
        <w:pStyle w:val="SourceText"/>
      </w:pPr>
      <w:bookmarkStart w:id="86" w:name="F10"/>
      <w:bookmarkEnd w:id="86"/>
      <w:r>
        <w:rPr>
          <w:b/>
        </w:rPr>
        <w:t>[F10] Integritás Hatóság: Feljelentések.</w:t>
      </w:r>
      <w:r>
        <w:rPr>
          <w:b w:val="0"/>
        </w:rPr>
        <w:t xml:space="preserve"> A feljelentési tevékenység és ügyek intézményi bemutatása. A listán szereplés nem jogerős bűnösségi megállapítás.</w:t>
      </w:r>
    </w:p>
    <w:p>
      <w:pPr>
        <w:pStyle w:val="SourceText"/>
      </w:pPr>
      <w:hyperlink r:id="rId21">
        <w:r>
          <w:rPr>
            <w:color w:val="21618C"/>
          </w:rPr>
          <w:t>Feljelentések</w:t>
        </w:r>
      </w:hyperlink>
    </w:p>
    <w:p>
      <w:pPr>
        <w:pStyle w:val="SourceText"/>
      </w:pPr>
      <w:bookmarkStart w:id="87" w:name="F11"/>
      <w:bookmarkEnd w:id="87"/>
      <w:r>
        <w:rPr>
          <w:b/>
        </w:rPr>
        <w:t>[F11] Európai Ügyészség: Hungary.</w:t>
      </w:r>
      <w:r>
        <w:rPr>
          <w:b w:val="0"/>
        </w:rPr>
        <w:t xml:space="preserve"> Az EPPO saját országoldala a részvételről és a működés kinevezéshez kötött indulásáról. Az országoldal és F12 napmegjelölése közötti eltérés a főszövegben jelezve.</w:t>
      </w:r>
    </w:p>
    <w:p>
      <w:pPr>
        <w:pStyle w:val="SourceText"/>
      </w:pPr>
      <w:hyperlink r:id="rId22">
        <w:r>
          <w:rPr>
            <w:color w:val="21618C"/>
          </w:rPr>
          <w:t>Magyarország az EPPO-ban</w:t>
        </w:r>
      </w:hyperlink>
    </w:p>
    <w:p>
      <w:pPr>
        <w:pStyle w:val="SourceText"/>
      </w:pPr>
      <w:bookmarkStart w:id="88" w:name="F12"/>
      <w:bookmarkEnd w:id="88"/>
      <w:r>
        <w:rPr>
          <w:b/>
        </w:rPr>
        <w:t>[F12] Az EU Tanácsa: Európai Ügyészség.</w:t>
      </w:r>
      <w:r>
        <w:rPr>
          <w:b w:val="0"/>
        </w:rPr>
        <w:t xml:space="preserve"> Részvételi és intézményi ismertető; a konkrét joghatásokra F13 és az EPPO alapító rendelete az irányadó.</w:t>
      </w:r>
    </w:p>
    <w:p>
      <w:pPr>
        <w:pStyle w:val="SourceText"/>
      </w:pPr>
      <w:hyperlink r:id="rId23">
        <w:r>
          <w:rPr>
            <w:color w:val="21618C"/>
          </w:rPr>
          <w:t>Tanácsi ismertető</w:t>
        </w:r>
      </w:hyperlink>
    </w:p>
    <w:p>
      <w:pPr>
        <w:pStyle w:val="SourceText"/>
      </w:pPr>
      <w:bookmarkStart w:id="89" w:name="F13"/>
      <w:bookmarkEnd w:id="89"/>
      <w:r>
        <w:rPr>
          <w:b/>
        </w:rPr>
        <w:t>[F13] A Bizottság (EU) 2026/1701 határozata Magyarország EPPO-részvételének megerősítéséről – EUR-Lex.</w:t>
      </w:r>
      <w:r>
        <w:rPr>
          <w:b w:val="0"/>
        </w:rPr>
        <w:t xml:space="preserve"> Különösen a részvétel, működés és időbeli alkalmazás szabályai. A határozat megléte önmagában nem igazolja valamennyi magyar ügy operatív átvételét.</w:t>
      </w:r>
    </w:p>
    <w:p>
      <w:pPr>
        <w:pStyle w:val="SourceText"/>
      </w:pPr>
      <w:hyperlink r:id="rId24">
        <w:r>
          <w:rPr>
            <w:color w:val="21618C"/>
          </w:rPr>
          <w:t>Határozat és bibliográfiai adatok</w:t>
        </w:r>
      </w:hyperlink>
      <w:r>
        <w:rPr>
          <w:b w:val="0"/>
        </w:rPr>
        <w:t xml:space="preserve"> · </w:t>
      </w:r>
      <w:hyperlink r:id="rId25">
        <w:r>
          <w:rPr>
            <w:color w:val="21618C"/>
          </w:rPr>
          <w:t>Magyar PDF</w:t>
        </w:r>
      </w:hyperlink>
    </w:p>
    <w:p>
      <w:pPr>
        <w:pStyle w:val="SourceText"/>
      </w:pPr>
      <w:bookmarkStart w:id="90" w:name="F14"/>
      <w:bookmarkEnd w:id="90"/>
      <w:r>
        <w:rPr>
          <w:b/>
        </w:rPr>
        <w:t>[F14] Ügyészség: Ügyészségi statisztikai tájékoztató, büntetőjogi szakterület.</w:t>
      </w:r>
      <w:r>
        <w:rPr>
          <w:b w:val="0"/>
        </w:rPr>
        <w:t xml:space="preserve"> Nyilvános statisztikai kiindulópont. Nem használtuk az egyes feladatokra megadott becsült időtartamok igazolására; ilyen feladatszintű korrupciós idősor nem állt rendelkezésre a kutatásban.</w:t>
      </w:r>
    </w:p>
    <w:p>
      <w:pPr>
        <w:pStyle w:val="SourceText"/>
      </w:pPr>
      <w:hyperlink r:id="rId26">
        <w:r>
          <w:rPr>
            <w:color w:val="21618C"/>
          </w:rPr>
          <w:t>Statisztikai kiadványok</w:t>
        </w:r>
      </w:hyperlink>
    </w:p>
    <w:p>
      <w:pPr>
        <w:pStyle w:val="SourceText"/>
      </w:pPr>
      <w:bookmarkStart w:id="91" w:name="F15"/>
      <w:bookmarkEnd w:id="91"/>
      <w:r>
        <w:rPr>
          <w:b/>
        </w:rPr>
        <w:t>[F15] Be., Jogtár PDF, a kutatáskor 2026. VIII. 26.–IX. 26. jelzett időállapot.</w:t>
      </w:r>
      <w:r>
        <w:rPr>
          <w:b w:val="0"/>
        </w:rPr>
        <w:t xml:space="preserve"> Különösen 189. § (6), 351–353. §, 407–411. §. Nyomozási idő, hosszabbítási feltételek, iratmegismerés, szakvélemény, vagyonfeltárás és egyezség. A nyomozási idő és a teljes ügykezelési idő eltérő fogalom.</w:t>
      </w:r>
    </w:p>
    <w:p>
      <w:pPr>
        <w:pStyle w:val="SourceText"/>
      </w:pPr>
      <w:hyperlink r:id="rId27">
        <w:r>
          <w:rPr>
            <w:color w:val="21618C"/>
          </w:rPr>
          <w:t>Be. PDF</w:t>
        </w:r>
      </w:hyperlink>
    </w:p>
    <w:p>
      <w:pPr>
        <w:pStyle w:val="SourceText"/>
      </w:pPr>
      <w:bookmarkStart w:id="92" w:name="F16"/>
      <w:bookmarkEnd w:id="92"/>
      <w:r>
        <w:rPr>
          <w:b/>
        </w:rPr>
        <w:t>[F16] Európai Bizottság: Taking evidence in another EU country.</w:t>
      </w:r>
      <w:r>
        <w:rPr>
          <w:b w:val="0"/>
        </w:rPr>
        <w:t xml:space="preserve"> Európai nyomozási határozat, elismerés és végrehajtás fő határidői; a kivételek miatt nem automatikus teljes ügyhatáridő.</w:t>
      </w:r>
    </w:p>
    <w:p>
      <w:pPr>
        <w:pStyle w:val="SourceText"/>
      </w:pPr>
      <w:hyperlink r:id="rId28">
        <w:r>
          <w:rPr>
            <w:color w:val="21618C"/>
          </w:rPr>
          <w:t>Határon átnyúló bizonyítékbeszerzés</w:t>
        </w:r>
      </w:hyperlink>
    </w:p>
    <w:p>
      <w:pPr>
        <w:pStyle w:val="SourceText"/>
      </w:pPr>
      <w:bookmarkStart w:id="93" w:name="F17"/>
      <w:bookmarkEnd w:id="93"/>
      <w:r>
        <w:rPr>
          <w:b/>
        </w:rPr>
        <w:t>[F17] Európai Bizottság: E-evidence – cross-border access to electronic evidence.</w:t>
      </w:r>
      <w:r>
        <w:rPr>
          <w:b w:val="0"/>
        </w:rPr>
        <w:t xml:space="preserve"> Közvetlen szolgáltatói adatközlés és megőrzés, 10 nap és kivételes 8 óra, indulási és készültségi információk. A gyors csatorna alkalmazhatóságát az adattípus, szolgáltató, jogi feltételek és működési készültség együtt határozza meg.</w:t>
      </w:r>
    </w:p>
    <w:p>
      <w:pPr>
        <w:pStyle w:val="SourceText"/>
      </w:pPr>
      <w:hyperlink r:id="rId29">
        <w:r>
          <w:rPr>
            <w:color w:val="21618C"/>
          </w:rPr>
          <w:t>Elektronikus bizonyítékcsomag</w:t>
        </w:r>
      </w:hyperlink>
    </w:p>
    <w:p>
      <w:pPr>
        <w:pStyle w:val="Heading2"/>
      </w:pPr>
      <w:r>
        <w:rPr>
          <w:b w:val="0"/>
        </w:rPr>
        <w:t>5.2. Magyar bizonyítási, ítélkezési és szakhatósági támpontok</w:t>
      </w:r>
      <w:bookmarkStart w:id="94" w:name="chapter5-h38"/>
      <w:bookmarkEnd w:id="94"/>
    </w:p>
    <w:p>
      <w:pPr>
        <w:pStyle w:val="SourceText"/>
      </w:pPr>
      <w:bookmarkStart w:id="95" w:name="F18"/>
      <w:bookmarkEnd w:id="95"/>
      <w:r>
        <w:rPr>
          <w:b/>
        </w:rPr>
        <w:t>[F18] Kúria: Tájékoztató a Bhar.III.160/2014. számú ügyhöz.</w:t>
      </w:r>
      <w:r>
        <w:rPr>
          <w:b w:val="0"/>
        </w:rPr>
        <w:t xml:space="preserve"> Hivatali visszaélés célzatának és az eredménynek az elkülönítése. Egyedi ügyismertetés; a konkrét tényállási különbségekre figyelni kell.</w:t>
      </w:r>
    </w:p>
    <w:p>
      <w:pPr>
        <w:pStyle w:val="SourceText"/>
      </w:pPr>
      <w:hyperlink r:id="rId30">
        <w:r>
          <w:rPr>
            <w:color w:val="21618C"/>
          </w:rPr>
          <w:t>Kúria-tájékoztató</w:t>
        </w:r>
      </w:hyperlink>
    </w:p>
    <w:p>
      <w:pPr>
        <w:pStyle w:val="SourceText"/>
      </w:pPr>
      <w:bookmarkStart w:id="96" w:name="F19"/>
      <w:bookmarkEnd w:id="96"/>
      <w:r>
        <w:rPr>
          <w:b/>
        </w:rPr>
        <w:t>[F19] Kúria: Bfv.I.346/2016., hűtlen és hanyag kezelés elhatárolása.</w:t>
      </w:r>
      <w:r>
        <w:rPr>
          <w:b w:val="0"/>
        </w:rPr>
        <w:t xml:space="preserve"> A vagyoni hátrányhoz való tudati viszony jelentősége. Történeti jogszabályi háttérrel született ügy, ezért nem a jelenlegi tényállás teljes szövegének helyettesítője.</w:t>
      </w:r>
    </w:p>
    <w:p>
      <w:pPr>
        <w:pStyle w:val="SourceText"/>
      </w:pPr>
      <w:hyperlink r:id="rId31">
        <w:r>
          <w:rPr>
            <w:color w:val="21618C"/>
          </w:rPr>
          <w:t>Kúria-tájékoztató</w:t>
        </w:r>
      </w:hyperlink>
    </w:p>
    <w:p>
      <w:pPr>
        <w:pStyle w:val="SourceText"/>
      </w:pPr>
      <w:bookmarkStart w:id="97" w:name="F20"/>
      <w:bookmarkEnd w:id="97"/>
      <w:r>
        <w:rPr>
          <w:b/>
        </w:rPr>
        <w:t>[F20] Kúriai Döntések – Bírósági Határozatok, 2025. október, 1699. nyomtatott oldal, [23]–[30] bekezdés.</w:t>
      </w:r>
      <w:r>
        <w:rPr>
          <w:b w:val="0"/>
        </w:rPr>
        <w:t xml:space="preserve"> A vagyoni hátrány, szándékosság és a hanyag kezelés sajátos feltételei körében használt kiegészítő ítélkezési támpont. A folyóiratszám gyűjtemény, nem egyetlen határozat.</w:t>
      </w:r>
    </w:p>
    <w:p>
      <w:pPr>
        <w:pStyle w:val="SourceText"/>
      </w:pPr>
      <w:hyperlink r:id="rId32">
        <w:r>
          <w:rPr>
            <w:color w:val="21618C"/>
          </w:rPr>
          <w:t>2025. októberi kiadvány</w:t>
        </w:r>
      </w:hyperlink>
    </w:p>
    <w:p>
      <w:pPr>
        <w:pStyle w:val="SourceText"/>
      </w:pPr>
      <w:bookmarkStart w:id="98" w:name="F21"/>
      <w:bookmarkEnd w:id="98"/>
      <w:r>
        <w:rPr>
          <w:b/>
        </w:rPr>
        <w:t>[F21] Kúria, 152. szám alatt közölt döntés: költségvetési pénzeszközök jóváhagyott céltól eltérő felhasználása.</w:t>
      </w:r>
      <w:r>
        <w:rPr>
          <w:b w:val="0"/>
        </w:rPr>
        <w:t xml:space="preserve"> A forrás meghatározott rendeltetésének jelentősége.</w:t>
      </w:r>
    </w:p>
    <w:p>
      <w:pPr>
        <w:pStyle w:val="SourceText"/>
      </w:pPr>
      <w:hyperlink r:id="rId33">
        <w:r>
          <w:rPr>
            <w:color w:val="21618C"/>
          </w:rPr>
          <w:t>Döntésismertetés</w:t>
        </w:r>
      </w:hyperlink>
    </w:p>
    <w:p>
      <w:pPr>
        <w:pStyle w:val="SourceText"/>
      </w:pPr>
      <w:bookmarkStart w:id="99" w:name="F22"/>
      <w:bookmarkEnd w:id="99"/>
      <w:r>
        <w:rPr>
          <w:b/>
        </w:rPr>
        <w:t>[F22] Be. 7. § (5): más eljárásban hozott határozat és tényállás kötőerejének hiánya.</w:t>
      </w:r>
      <w:r>
        <w:rPr>
          <w:b w:val="0"/>
        </w:rPr>
        <w:t xml:space="preserve"> Az adóhatósági megállapítás és a büntetőjogi felelősség elkülönítésének közvetlen eljárási jogalapja. Ugyanannak a törvénynek célzott rendelkezése, amelyre F04 és F15 is hivatkozik; nem külön jogforrás.</w:t>
      </w:r>
    </w:p>
    <w:p>
      <w:pPr>
        <w:pStyle w:val="SourceText"/>
      </w:pPr>
      <w:hyperlink r:id="rId27">
        <w:r>
          <w:rPr>
            <w:color w:val="21618C"/>
          </w:rPr>
          <w:t>Be., célzott rendelkezés az elején</w:t>
        </w:r>
      </w:hyperlink>
    </w:p>
    <w:p>
      <w:pPr>
        <w:pStyle w:val="SourceText"/>
      </w:pPr>
      <w:bookmarkStart w:id="100" w:name="F23"/>
      <w:bookmarkEnd w:id="100"/>
      <w:r>
        <w:rPr>
          <w:b/>
        </w:rPr>
        <w:t>[F23] Gazdasági Versenyhivatal: kartellútmutató ajánlatkérőknek és közbeszerzési oktatási anyag, 2017.</w:t>
      </w:r>
      <w:r>
        <w:rPr>
          <w:b w:val="0"/>
        </w:rPr>
        <w:t xml:space="preserve"> Ajánlati minták, azonos hibák, visszalépések és összejátszási jelzések; a gyanújelek nem helyettesítik a bizonyítást.</w:t>
      </w:r>
    </w:p>
    <w:p>
      <w:pPr>
        <w:pStyle w:val="SourceText"/>
      </w:pPr>
      <w:hyperlink r:id="rId34">
        <w:r>
          <w:rPr>
            <w:color w:val="21618C"/>
          </w:rPr>
          <w:t>Ajánlatkérői útmutató</w:t>
        </w:r>
      </w:hyperlink>
      <w:r>
        <w:rPr>
          <w:b w:val="0"/>
        </w:rPr>
        <w:t xml:space="preserve"> · </w:t>
      </w:r>
      <w:hyperlink r:id="rId35">
        <w:r>
          <w:rPr>
            <w:color w:val="21618C"/>
          </w:rPr>
          <w:t>Részletes oktatási anyag</w:t>
        </w:r>
      </w:hyperlink>
    </w:p>
    <w:p>
      <w:pPr>
        <w:pStyle w:val="SourceText"/>
      </w:pPr>
      <w:bookmarkStart w:id="101" w:name="F24"/>
      <w:bookmarkEnd w:id="101"/>
      <w:r>
        <w:rPr>
          <w:b/>
        </w:rPr>
        <w:t>[F24] Kúria Bfv.1124/2022/10., anonimizált határozat.</w:t>
      </w:r>
      <w:r>
        <w:rPr>
          <w:b w:val="0"/>
        </w:rPr>
        <w:t xml:space="preserve"> Árlejtés előtti SMS-kommunikáció értékelésének példája. Konkrét ügy, nem önálló általános bizonyítási szabály.</w:t>
      </w:r>
    </w:p>
    <w:p>
      <w:pPr>
        <w:pStyle w:val="SourceText"/>
      </w:pPr>
      <w:hyperlink r:id="rId36">
        <w:r>
          <w:rPr>
            <w:color w:val="21618C"/>
          </w:rPr>
          <w:t>Határozat PDF</w:t>
        </w:r>
      </w:hyperlink>
    </w:p>
    <w:p>
      <w:pPr>
        <w:pStyle w:val="SourceText"/>
      </w:pPr>
      <w:bookmarkStart w:id="102" w:name="F25"/>
      <w:bookmarkEnd w:id="102"/>
      <w:r>
        <w:rPr>
          <w:b/>
        </w:rPr>
        <w:t>[F25] Kúriai Döntések – Bírósági Határozatok, 2023. március.</w:t>
      </w:r>
      <w:r>
        <w:rPr>
          <w:b w:val="0"/>
        </w:rPr>
        <w:t xml:space="preserve"> Pénzmosási szabályozáshoz kapcsolódó szakmai háttér. A kiadvány tanulmányokat is tartalmaz, ezért az elemzést nem szabad automatikusan kötelező döntési tételként kezelni.</w:t>
      </w:r>
    </w:p>
    <w:p>
      <w:pPr>
        <w:pStyle w:val="SourceText"/>
      </w:pPr>
      <w:hyperlink r:id="rId37">
        <w:r>
          <w:rPr>
            <w:color w:val="21618C"/>
          </w:rPr>
          <w:t>2023. márciusi kiadvány</w:t>
        </w:r>
      </w:hyperlink>
    </w:p>
    <w:p>
      <w:pPr>
        <w:pStyle w:val="SourceText"/>
      </w:pPr>
      <w:bookmarkStart w:id="103" w:name="F26"/>
      <w:bookmarkEnd w:id="103"/>
      <w:r>
        <w:rPr>
          <w:b/>
        </w:rPr>
        <w:t>[F26] A 2025. évi CXVIII. törvény indokolása – NJT.</w:t>
      </w:r>
      <w:r>
        <w:rPr>
          <w:b w:val="0"/>
        </w:rPr>
        <w:t xml:space="preserve"> Vagyonkezelési és elkobzási reformok háttere. Indokolás; konkrét intézkedéshez az érintett hatályos norma külön megkeresendő.</w:t>
      </w:r>
    </w:p>
    <w:p>
      <w:pPr>
        <w:pStyle w:val="SourceText"/>
      </w:pPr>
      <w:hyperlink r:id="rId38">
        <w:r>
          <w:rPr>
            <w:color w:val="21618C"/>
          </w:rPr>
          <w:t>Indokolás</w:t>
        </w:r>
      </w:hyperlink>
    </w:p>
    <w:p>
      <w:pPr>
        <w:pStyle w:val="SourceText"/>
      </w:pPr>
      <w:bookmarkStart w:id="104" w:name="F27"/>
      <w:bookmarkEnd w:id="104"/>
      <w:r>
        <w:rPr>
          <w:b/>
        </w:rPr>
        <w:t>[F27] 2001. évi CIV. törvény a jogi személlyel szemben alkalmazható büntetőjogi intézkedésekről – NJT.</w:t>
      </w:r>
      <w:r>
        <w:rPr>
          <w:b w:val="0"/>
        </w:rPr>
        <w:t xml:space="preserve"> Különösen 2–3. § és az önálló eljárás szabályai. A kutatás a 2026-ban elérhető, módosított szövegre támaszkodott, nem a régi összefoglalókra.</w:t>
      </w:r>
    </w:p>
    <w:p>
      <w:pPr>
        <w:pStyle w:val="SourceText"/>
      </w:pPr>
      <w:hyperlink r:id="rId39">
        <w:r>
          <w:rPr>
            <w:color w:val="21618C"/>
          </w:rPr>
          <w:t>Jogi személyekkel szembeni intézkedések</w:t>
        </w:r>
      </w:hyperlink>
    </w:p>
    <w:p>
      <w:pPr>
        <w:pStyle w:val="Heading2"/>
      </w:pPr>
      <w:r>
        <w:rPr>
          <w:b w:val="0"/>
        </w:rPr>
        <w:t>5.3. Adatvédelem és AI-szabályozás</w:t>
      </w:r>
      <w:bookmarkStart w:id="105" w:name="chapter5-h59"/>
      <w:bookmarkEnd w:id="105"/>
    </w:p>
    <w:p>
      <w:pPr>
        <w:pStyle w:val="SourceText"/>
      </w:pPr>
      <w:bookmarkStart w:id="106" w:name="F28"/>
      <w:bookmarkEnd w:id="106"/>
      <w:r>
        <w:rPr>
          <w:b/>
        </w:rPr>
        <w:t>[F28] Az Európai Parlament és a Tanács (EU) 2016/680 irányelve.</w:t>
      </w:r>
      <w:r>
        <w:rPr>
          <w:b w:val="0"/>
        </w:rPr>
        <w:t xml:space="preserve"> Illetékes hatóságok bűnüldözési célú személyesadat-kezelése, garanciák és adattovábbítás. A magyar végrehajtással és ágazati joggal együtt értelmezendő.</w:t>
      </w:r>
    </w:p>
    <w:p>
      <w:pPr>
        <w:pStyle w:val="SourceText"/>
      </w:pPr>
      <w:hyperlink r:id="rId40">
        <w:r>
          <w:rPr>
            <w:color w:val="21618C"/>
          </w:rPr>
          <w:t>Bűnüldözési adatvédelmi irányelv</w:t>
        </w:r>
      </w:hyperlink>
    </w:p>
    <w:p>
      <w:pPr>
        <w:pStyle w:val="SourceText"/>
      </w:pPr>
      <w:bookmarkStart w:id="107" w:name="F29"/>
      <w:bookmarkEnd w:id="107"/>
      <w:r>
        <w:rPr>
          <w:b/>
        </w:rPr>
        <w:t>[F29] 2011. évi CXII. törvény, Infotv. – NJT.</w:t>
      </w:r>
      <w:r>
        <w:rPr>
          <w:b w:val="0"/>
        </w:rPr>
        <w:t xml:space="preserve"> Magyar adatvédelmi keret és bűnüldözési adatkezelési szabályok; az automatikus döntés és a különleges adatok feltételei is relevánsak.</w:t>
      </w:r>
    </w:p>
    <w:p>
      <w:pPr>
        <w:pStyle w:val="SourceText"/>
      </w:pPr>
      <w:hyperlink r:id="rId41">
        <w:r>
          <w:rPr>
            <w:color w:val="21618C"/>
          </w:rPr>
          <w:t>Infotv.</w:t>
        </w:r>
      </w:hyperlink>
    </w:p>
    <w:p>
      <w:pPr>
        <w:pStyle w:val="SourceText"/>
      </w:pPr>
      <w:bookmarkStart w:id="108" w:name="F30"/>
      <w:bookmarkEnd w:id="108"/>
      <w:r>
        <w:rPr>
          <w:b/>
        </w:rPr>
        <w:t>[F30] Az Európai Parlament és a Tanács (EU) 2024/1689 rendelete, AI Act.</w:t>
      </w:r>
      <w:r>
        <w:rPr>
          <w:b w:val="0"/>
        </w:rPr>
        <w:t xml:space="preserve"> Különösen 5–6., 25–27., 111. és 113. cikk, III. melléklet 6. és 8. pont. Az eredeti szöveget F31 módosításával együtt kell olvasni.</w:t>
      </w:r>
    </w:p>
    <w:p>
      <w:pPr>
        <w:pStyle w:val="SourceText"/>
      </w:pPr>
      <w:hyperlink r:id="rId42">
        <w:r>
          <w:rPr>
            <w:color w:val="21618C"/>
          </w:rPr>
          <w:t>AI Act</w:t>
        </w:r>
      </w:hyperlink>
    </w:p>
    <w:p>
      <w:pPr>
        <w:pStyle w:val="SourceText"/>
      </w:pPr>
      <w:bookmarkStart w:id="109" w:name="F31"/>
      <w:bookmarkEnd w:id="109"/>
      <w:r>
        <w:rPr>
          <w:b/>
        </w:rPr>
        <w:t>[F31] Az Európai Parlament és a Tanács (EU) 2026/1744 rendelete.</w:t>
      </w:r>
      <w:r>
        <w:rPr>
          <w:b w:val="0"/>
        </w:rPr>
        <w:t xml:space="preserve"> A 2026-os AI-omnibusz módosítás; az 1. cikk módosítja többek között az AI-műveltségi szabályt és a nagy kockázatú rendszerek fő alkalmazási időpontjait. Az anyagban a 2027. december 2-i és 2028. augusztus 2-i időpont ebből ered.</w:t>
      </w:r>
    </w:p>
    <w:p>
      <w:pPr>
        <w:pStyle w:val="SourceText"/>
      </w:pPr>
      <w:hyperlink r:id="rId43">
        <w:r>
          <w:rPr>
            <w:color w:val="21618C"/>
          </w:rPr>
          <w:t>Módosító rendelet</w:t>
        </w:r>
      </w:hyperlink>
    </w:p>
    <w:p>
      <w:pPr>
        <w:pStyle w:val="SourceText"/>
      </w:pPr>
      <w:bookmarkStart w:id="110" w:name="F32"/>
      <w:bookmarkEnd w:id="110"/>
      <w:r>
        <w:rPr>
          <w:b/>
        </w:rPr>
        <w:t>[F32] Európai Bizottság: AI regulatory framework.</w:t>
      </w:r>
      <w:r>
        <w:rPr>
          <w:b w:val="0"/>
        </w:rPr>
        <w:t xml:space="preserve"> Az AI Act alkalmazási időrendjének intézményi összefoglalása. A kötelező jogszöveghez F30–F31 az elsődleges.</w:t>
      </w:r>
    </w:p>
    <w:p>
      <w:pPr>
        <w:pStyle w:val="SourceText"/>
      </w:pPr>
      <w:hyperlink r:id="rId44">
        <w:r>
          <w:rPr>
            <w:color w:val="21618C"/>
          </w:rPr>
          <w:t>Bizottsági AI-keretismertető</w:t>
        </w:r>
      </w:hyperlink>
    </w:p>
    <w:p>
      <w:pPr>
        <w:pStyle w:val="Heading2"/>
      </w:pPr>
      <w:r>
        <w:rPr>
          <w:b w:val="0"/>
        </w:rPr>
        <w:t>5.4. Dokumentált alkalmazás és termékforrások</w:t>
      </w:r>
      <w:bookmarkStart w:id="111" w:name="chapter5-h70"/>
      <w:bookmarkEnd w:id="111"/>
    </w:p>
    <w:p>
      <w:pPr>
        <w:pStyle w:val="SourceText"/>
      </w:pPr>
      <w:bookmarkStart w:id="112" w:name="F33"/>
      <w:bookmarkEnd w:id="112"/>
      <w:r>
        <w:rPr>
          <w:b/>
        </w:rPr>
        <w:t>[F33] UK Parliament, Written Question 26405, 2025. január 27.; válasz 2025. február 4.</w:t>
      </w:r>
      <w:r>
        <w:rPr>
          <w:b w:val="0"/>
        </w:rPr>
        <w:t xml:space="preserve"> Serious Fraud Office, technológiával támogatott iratáttekintés próbája folyamatban lévő büntetőügyekben. Kormányzati válasz, nem gyártói referencia és nem ellenőrzött magyar teljesítménymérés.</w:t>
      </w:r>
    </w:p>
    <w:p>
      <w:pPr>
        <w:pStyle w:val="SourceText"/>
      </w:pPr>
      <w:hyperlink r:id="rId45">
        <w:r>
          <w:rPr>
            <w:color w:val="21618C"/>
          </w:rPr>
          <w:t>Parlamenti kérdés és válasz</w:t>
        </w:r>
      </w:hyperlink>
    </w:p>
    <w:p>
      <w:pPr>
        <w:pStyle w:val="SourceText"/>
      </w:pPr>
      <w:bookmarkStart w:id="113" w:name="F34"/>
      <w:bookmarkEnd w:id="113"/>
      <w:r>
        <w:rPr>
          <w:b/>
        </w:rPr>
        <w:t>[F34] Relativity: aiR for Review.</w:t>
      </w:r>
      <w:r>
        <w:rPr>
          <w:b w:val="0"/>
        </w:rPr>
        <w:t xml:space="preserve"> Gyártói termékleírás: relevancia, vizsgálati témák és AI-támogatott áttekintés.</w:t>
      </w:r>
    </w:p>
    <w:p>
      <w:pPr>
        <w:pStyle w:val="SourceText"/>
      </w:pPr>
      <w:hyperlink r:id="rId46">
        <w:r>
          <w:rPr>
            <w:color w:val="21618C"/>
          </w:rPr>
          <w:t>Termékoldal</w:t>
        </w:r>
      </w:hyperlink>
    </w:p>
    <w:p>
      <w:pPr>
        <w:pStyle w:val="SourceText"/>
      </w:pPr>
      <w:bookmarkStart w:id="114" w:name="F35"/>
      <w:bookmarkEnd w:id="114"/>
      <w:r>
        <w:rPr>
          <w:b/>
        </w:rPr>
        <w:t>[F35] RelativityOne dokumentáció: aiR for Review és results.</w:t>
      </w:r>
      <w:r>
        <w:rPr>
          <w:b w:val="0"/>
        </w:rPr>
        <w:t xml:space="preserve"> Gyártói leírás az eredményekről, indoklásról és hivatkozásokról. A tényleges jogosultságot és szolgáltatáskonfigurációt külön kell ellenőrizni.</w:t>
      </w:r>
    </w:p>
    <w:p>
      <w:pPr>
        <w:pStyle w:val="SourceText"/>
      </w:pPr>
      <w:hyperlink r:id="rId47">
        <w:r>
          <w:rPr>
            <w:color w:val="21618C"/>
          </w:rPr>
          <w:t>Funkcióleírás</w:t>
        </w:r>
      </w:hyperlink>
      <w:r>
        <w:rPr>
          <w:b w:val="0"/>
        </w:rPr>
        <w:t xml:space="preserve"> · </w:t>
      </w:r>
      <w:hyperlink r:id="rId48">
        <w:r>
          <w:rPr>
            <w:color w:val="21618C"/>
          </w:rPr>
          <w:t>Eredmények dokumentációja</w:t>
        </w:r>
      </w:hyperlink>
    </w:p>
    <w:p>
      <w:pPr>
        <w:pStyle w:val="SourceText"/>
      </w:pPr>
      <w:bookmarkStart w:id="115" w:name="F36"/>
      <w:bookmarkEnd w:id="115"/>
      <w:r>
        <w:rPr>
          <w:b/>
        </w:rPr>
        <w:t>[F36] Nuix: Fraud investigations.</w:t>
      </w:r>
      <w:r>
        <w:rPr>
          <w:b w:val="0"/>
        </w:rPr>
        <w:t xml:space="preserve"> Gyártói leírás a digitális adatok feldolgozásáról és vizsgálatáról. A hivatkozott esettanulmányok nem tekinthetők e kutatás saját vagy független mérésének.</w:t>
      </w:r>
    </w:p>
    <w:p>
      <w:pPr>
        <w:pStyle w:val="SourceText"/>
      </w:pPr>
      <w:hyperlink r:id="rId49">
        <w:r>
          <w:rPr>
            <w:color w:val="21618C"/>
          </w:rPr>
          <w:t>Nuix vizsgálati megoldások</w:t>
        </w:r>
      </w:hyperlink>
    </w:p>
    <w:p>
      <w:pPr>
        <w:pStyle w:val="SourceText"/>
      </w:pPr>
      <w:bookmarkStart w:id="116" w:name="F37"/>
      <w:bookmarkEnd w:id="116"/>
      <w:r>
        <w:rPr>
          <w:b/>
        </w:rPr>
        <w:t>[F37] Cellebrite: Pathfinder.</w:t>
      </w:r>
      <w:r>
        <w:rPr>
          <w:b w:val="0"/>
        </w:rPr>
        <w:t xml:space="preserve"> Gyártói termékoldal a digitális vizsgálati elemzésről, kommunikációról és multimédiáról.</w:t>
      </w:r>
    </w:p>
    <w:p>
      <w:pPr>
        <w:pStyle w:val="SourceText"/>
      </w:pPr>
      <w:hyperlink r:id="rId50">
        <w:r>
          <w:rPr>
            <w:color w:val="21618C"/>
          </w:rPr>
          <w:t>Pathfinder</w:t>
        </w:r>
      </w:hyperlink>
    </w:p>
    <w:p>
      <w:pPr>
        <w:pStyle w:val="SourceText"/>
      </w:pPr>
      <w:bookmarkStart w:id="117" w:name="F38"/>
      <w:bookmarkEnd w:id="117"/>
      <w:r>
        <w:rPr>
          <w:b/>
        </w:rPr>
        <w:t>[F38] Cellebrite: AWS-szel bővített vizsgálati elemzés, 2024. szeptember.</w:t>
      </w:r>
      <w:r>
        <w:rPr>
          <w:b w:val="0"/>
        </w:rPr>
        <w:t xml:space="preserve"> Gyártói közlemény a helyi és felhős/VPC-lehetőségekről. A konkrét 2026-os szállítási konfigurációt nem helyettesíti.</w:t>
      </w:r>
    </w:p>
    <w:p>
      <w:pPr>
        <w:pStyle w:val="SourceText"/>
      </w:pPr>
      <w:hyperlink r:id="rId51">
        <w:r>
          <w:rPr>
            <w:color w:val="21618C"/>
          </w:rPr>
          <w:t>Telepítési háttér</w:t>
        </w:r>
      </w:hyperlink>
    </w:p>
    <w:p>
      <w:pPr>
        <w:pStyle w:val="SourceText"/>
      </w:pPr>
      <w:bookmarkStart w:id="118" w:name="F39"/>
      <w:bookmarkEnd w:id="118"/>
      <w:r>
        <w:rPr>
          <w:b/>
        </w:rPr>
        <w:t>[F39] Magnet Forensics: Magnet AI; Copilot az AXIOM-ban, 2025. március 18.</w:t>
      </w:r>
      <w:r>
        <w:rPr>
          <w:b w:val="0"/>
        </w:rPr>
        <w:t xml:space="preserve"> Gyártói funkcióleírás, beleértve offline képességeket. Nem valamennyi modul offline működésének általános igazolása.</w:t>
      </w:r>
    </w:p>
    <w:p>
      <w:pPr>
        <w:pStyle w:val="SourceText"/>
      </w:pPr>
      <w:hyperlink r:id="rId52">
        <w:r>
          <w:rPr>
            <w:color w:val="21618C"/>
          </w:rPr>
          <w:t>Magnet AI</w:t>
        </w:r>
      </w:hyperlink>
      <w:r>
        <w:rPr>
          <w:b w:val="0"/>
        </w:rPr>
        <w:t xml:space="preserve"> · </w:t>
      </w:r>
      <w:hyperlink r:id="rId53">
        <w:r>
          <w:rPr>
            <w:color w:val="21618C"/>
          </w:rPr>
          <w:t>Copilot és AXIOM</w:t>
        </w:r>
      </w:hyperlink>
    </w:p>
    <w:p>
      <w:pPr>
        <w:pStyle w:val="SourceText"/>
      </w:pPr>
      <w:bookmarkStart w:id="119" w:name="F40"/>
      <w:bookmarkEnd w:id="119"/>
      <w:r>
        <w:rPr>
          <w:b/>
        </w:rPr>
        <w:t>[F40] Everlaw: Everlaw AI és Writing Assistant.</w:t>
      </w:r>
      <w:r>
        <w:rPr>
          <w:b w:val="0"/>
        </w:rPr>
        <w:t xml:space="preserve"> Gyártói leírás az iratáttekintésről, összefoglalásról és hivatkozásos írástámogatásról.</w:t>
      </w:r>
    </w:p>
    <w:p>
      <w:pPr>
        <w:pStyle w:val="SourceText"/>
      </w:pPr>
      <w:hyperlink r:id="rId54">
        <w:r>
          <w:rPr>
            <w:color w:val="21618C"/>
          </w:rPr>
          <w:t>Everlaw AI</w:t>
        </w:r>
      </w:hyperlink>
      <w:r>
        <w:rPr>
          <w:b w:val="0"/>
        </w:rPr>
        <w:t xml:space="preserve"> · </w:t>
      </w:r>
      <w:hyperlink r:id="rId55">
        <w:r>
          <w:rPr>
            <w:color w:val="21618C"/>
          </w:rPr>
          <w:t>Writing Assistant</w:t>
        </w:r>
      </w:hyperlink>
    </w:p>
    <w:p>
      <w:pPr>
        <w:pStyle w:val="SourceText"/>
      </w:pPr>
      <w:bookmarkStart w:id="120" w:name="F41"/>
      <w:bookmarkEnd w:id="120"/>
      <w:r>
        <w:rPr>
          <w:b/>
        </w:rPr>
        <w:t>[F41] Wolters Kluwer: Libra, Jogtár-tartalommal, 2026. április 22.</w:t>
      </w:r>
      <w:r>
        <w:rPr>
          <w:b w:val="0"/>
        </w:rPr>
        <w:t xml:space="preserve"> Magyar termékismertető a jogi AI-támogatásról. A konkrét ajánlat, adatkezelés, jogosultság és funkciók érettsége beszerzés előtt ellenőrzendő.</w:t>
      </w:r>
    </w:p>
    <w:p>
      <w:pPr>
        <w:pStyle w:val="SourceText"/>
      </w:pPr>
      <w:hyperlink r:id="rId56">
        <w:r>
          <w:rPr>
            <w:color w:val="21618C"/>
          </w:rPr>
          <w:t>Libra és Jogtár</w:t>
        </w:r>
      </w:hyperlink>
    </w:p>
    <w:p>
      <w:pPr>
        <w:pStyle w:val="Heading2"/>
      </w:pPr>
      <w:r>
        <w:rPr>
          <w:b w:val="0"/>
        </w:rPr>
        <w:t>5.5. Magyar adatforrások háttere</w:t>
      </w:r>
      <w:bookmarkStart w:id="121" w:name="chapter5-h89"/>
      <w:bookmarkEnd w:id="121"/>
    </w:p>
    <w:p>
      <w:pPr>
        <w:pStyle w:val="SourceText"/>
      </w:pPr>
      <w:bookmarkStart w:id="122" w:name="F42"/>
      <w:bookmarkEnd w:id="122"/>
      <w:r>
        <w:rPr>
          <w:b/>
        </w:rPr>
        <w:t>[F42] NAV: pénzmosás-megelőzési kérdések és válaszok; a tényleges tulajdonosi nyilvántartás 2021. évi XLIII. törvényi háttere.</w:t>
      </w:r>
      <w:r>
        <w:rPr>
          <w:b w:val="0"/>
        </w:rPr>
        <w:t xml:space="preserve"> Hozzáférés és adatminőség megértéséhez. A NAV-nál közölt korábbi PDF nem elegendő az alkalmazás napján hatályos minden eljárási feltétel megállapítására.</w:t>
      </w:r>
    </w:p>
    <w:p>
      <w:pPr>
        <w:pStyle w:val="SourceText"/>
      </w:pPr>
      <w:hyperlink r:id="rId57">
        <w:r>
          <w:rPr>
            <w:color w:val="21618C"/>
          </w:rPr>
          <w:t>NAV-tájékoztató</w:t>
        </w:r>
      </w:hyperlink>
      <w:r>
        <w:rPr>
          <w:b w:val="0"/>
        </w:rPr>
        <w:t xml:space="preserve"> · </w:t>
      </w:r>
      <w:hyperlink r:id="rId58">
        <w:r>
          <w:rPr>
            <w:color w:val="21618C"/>
          </w:rPr>
          <w:t>Törvényi háttér PDF</w:t>
        </w:r>
      </w:hyperlink>
    </w:p>
    <w:p>
      <w:pPr>
        <w:pStyle w:val="SourceText"/>
      </w:pPr>
      <w:bookmarkStart w:id="123" w:name="F43"/>
      <w:bookmarkEnd w:id="123"/>
      <w:r>
        <w:rPr>
          <w:b/>
        </w:rPr>
        <w:t>[F43] Közbeszerzési Hatóság: 2023. évi beszámoló.</w:t>
      </w:r>
      <w:r>
        <w:rPr>
          <w:b w:val="0"/>
        </w:rPr>
        <w:t xml:space="preserve"> A CoRe és közzétételi környezet történeti működésének bemutatása. Nem a 2026-os adatállomány teljességi tanúsítványa.</w:t>
      </w:r>
    </w:p>
    <w:p>
      <w:pPr>
        <w:pStyle w:val="SourceText"/>
      </w:pPr>
      <w:hyperlink r:id="rId59">
        <w:r>
          <w:rPr>
            <w:color w:val="21618C"/>
          </w:rPr>
          <w:t>Éves beszámoló</w:t>
        </w:r>
      </w:hyperlink>
    </w:p>
    <w:p>
      <w:pPr>
        <w:pStyle w:val="Heading2"/>
      </w:pPr>
      <w:r>
        <w:rPr>
          <w:b w:val="0"/>
        </w:rPr>
        <w:t>5.6. Amit ez a kutatás nem igazolt</w:t>
      </w:r>
      <w:bookmarkStart w:id="124" w:name="chapter5-h94"/>
      <w:bookmarkEnd w:id="124"/>
    </w:p>
    <w:p>
      <w:pPr>
        <w:pStyle w:val="ListBullet"/>
        <w:numPr>
          <w:ilvl w:val="0"/>
          <w:numId w:val="24"/>
        </w:numPr>
      </w:pPr>
      <w:r>
        <w:rPr>
          <w:b w:val="0"/>
        </w:rPr>
        <w:t>Az NVVH valamennyi álláshelyének, hozzáférésének, informatikai integrációjának és napi munkafolyamatának tényleges működését a zárónapon.</w:t>
      </w:r>
    </w:p>
    <w:p>
      <w:pPr>
        <w:pStyle w:val="ListBullet"/>
        <w:numPr>
          <w:ilvl w:val="0"/>
          <w:numId w:val="24"/>
        </w:numPr>
      </w:pPr>
      <w:r>
        <w:rPr>
          <w:b w:val="0"/>
        </w:rPr>
        <w:t>Az EPPO magyar operatív indulásának konkrét teljesülését; a részvételi döntés és az indulási feltétel külön szerepel.</w:t>
      </w:r>
    </w:p>
    <w:p>
      <w:pPr>
        <w:pStyle w:val="ListBullet"/>
        <w:numPr>
          <w:ilvl w:val="0"/>
          <w:numId w:val="24"/>
        </w:numPr>
      </w:pPr>
      <w:r>
        <w:rPr>
          <w:b w:val="0"/>
        </w:rPr>
        <w:t>Korrupciós ügyekre bontott magyar ügyészi feladatidőket, AI-használati arányt vagy termékenkénti eredményességet.</w:t>
      </w:r>
    </w:p>
    <w:p>
      <w:pPr>
        <w:pStyle w:val="ListBullet"/>
        <w:numPr>
          <w:ilvl w:val="0"/>
          <w:numId w:val="24"/>
        </w:numPr>
      </w:pPr>
      <w:r>
        <w:rPr>
          <w:b w:val="0"/>
        </w:rPr>
        <w:t>A felsorolt gyártók magyar nyelvi pontosságát, hatósági engedélyezettségét, aktuális ajánlati árát és teljes alvállalkozói adatútját.</w:t>
      </w:r>
    </w:p>
    <w:p>
      <w:pPr>
        <w:pStyle w:val="ListBullet"/>
        <w:numPr>
          <w:ilvl w:val="0"/>
          <w:numId w:val="24"/>
        </w:numPr>
      </w:pPr>
      <w:r>
        <w:rPr>
          <w:b w:val="0"/>
        </w:rPr>
        <w:t>Konkrét ügy jogi minősítését, elévülését, kárösszegét vagy személyes felelősségét.</w:t>
      </w:r>
    </w:p>
    <w:p>
      <w:pPr>
        <w:pStyle w:val="SourceText"/>
      </w:pPr>
      <w:r>
        <w:rPr>
          <w:b w:val="0"/>
        </w:rPr>
        <w:t>A hiányzó empirikus adatokat ezért nem pótolja látszólag pontos országos megtakarítási ígéret. A számszerű példák reprodukálható feltételezéseket adnak a későbbi helyi méréshez.</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Munkaanyag • 2026.08.30.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t>KÖZPÉNZÜGYI KORRUPCIÓ  /  AI-TÁMOGATOTT FELDOLGOZÁS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ind w:left="720" w:hanging="360"/>
        <w:tabs>
          <w:tab w:val="num" w:pos="720"/>
        </w:tabs>
      </w:pPr>
    </w:lvl>
  </w:abstractNum>
  <w:num w:numId="10">
    <w:abstractNumId w:val="9"/>
  </w:num>
  <w:abstractNum w:abstractNumId="10">
    <w:multiLevelType w:val="singleLevel"/>
    <w:lvl w:ilvl="0">
      <w:start w:val="1"/>
      <w:numFmt w:val="bullet"/>
      <w:lvlText w:val="•"/>
      <w:lvlJc w:val="left"/>
      <w:pPr>
        <w:ind w:left="720" w:hanging="360"/>
        <w:tabs>
          <w:tab w:val="num" w:pos="720"/>
        </w:tabs>
      </w:pPr>
    </w:lvl>
  </w:abstractNum>
  <w:num w:numId="11">
    <w:abstractNumId w:val="10"/>
  </w:num>
  <w:abstractNum w:abstractNumId="11">
    <w:multiLevelType w:val="singleLevel"/>
    <w:lvl w:ilvl="0">
      <w:start w:val="1"/>
      <w:numFmt w:val="bullet"/>
      <w:lvlText w:val="•"/>
      <w:lvlJc w:val="left"/>
      <w:pPr>
        <w:ind w:left="720" w:hanging="360"/>
        <w:tabs>
          <w:tab w:val="num" w:pos="720"/>
        </w:tabs>
      </w:pPr>
    </w:lvl>
  </w:abstractNum>
  <w:num w:numId="12">
    <w:abstractNumId w:val="11"/>
  </w:num>
  <w:abstractNum w:abstractNumId="12">
    <w:multiLevelType w:val="singleLevel"/>
    <w:lvl w:ilvl="0">
      <w:start w:val="1"/>
      <w:numFmt w:val="decimal"/>
      <w:lvlText w:val="%1."/>
      <w:lvlJc w:val="left"/>
      <w:pPr>
        <w:ind w:left="720" w:hanging="360"/>
        <w:tabs>
          <w:tab w:val="num" w:pos="720"/>
        </w:tabs>
      </w:pPr>
    </w:lvl>
  </w:abstractNum>
  <w:num w:numId="13">
    <w:abstractNumId w:val="12"/>
  </w:num>
  <w:abstractNum w:abstractNumId="13">
    <w:multiLevelType w:val="singleLevel"/>
    <w:lvl w:ilvl="0">
      <w:start w:val="1"/>
      <w:numFmt w:val="bullet"/>
      <w:lvlText w:val="•"/>
      <w:lvlJc w:val="left"/>
      <w:pPr>
        <w:ind w:left="720" w:hanging="360"/>
        <w:tabs>
          <w:tab w:val="num" w:pos="720"/>
        </w:tabs>
      </w:pPr>
    </w:lvl>
  </w:abstractNum>
  <w:num w:numId="14">
    <w:abstractNumId w:val="13"/>
  </w:num>
  <w:abstractNum w:abstractNumId="14">
    <w:multiLevelType w:val="singleLevel"/>
    <w:lvl w:ilvl="0">
      <w:start w:val="1"/>
      <w:numFmt w:val="bullet"/>
      <w:lvlText w:val="•"/>
      <w:lvlJc w:val="left"/>
      <w:pPr>
        <w:ind w:left="720" w:hanging="360"/>
        <w:tabs>
          <w:tab w:val="num" w:pos="720"/>
        </w:tabs>
      </w:pPr>
    </w:lvl>
  </w:abstractNum>
  <w:num w:numId="15">
    <w:abstractNumId w:val="14"/>
  </w:num>
  <w:abstractNum w:abstractNumId="15">
    <w:multiLevelType w:val="singleLevel"/>
    <w:lvl w:ilvl="0">
      <w:start w:val="1"/>
      <w:numFmt w:val="decimal"/>
      <w:lvlText w:val="%1."/>
      <w:lvlJc w:val="left"/>
      <w:pPr>
        <w:ind w:left="720" w:hanging="360"/>
        <w:tabs>
          <w:tab w:val="num" w:pos="720"/>
        </w:tabs>
      </w:pPr>
    </w:lvl>
  </w:abstractNum>
  <w:num w:numId="16">
    <w:abstractNumId w:val="15"/>
  </w:num>
  <w:abstractNum w:abstractNumId="16">
    <w:multiLevelType w:val="singleLevel"/>
    <w:lvl w:ilvl="0">
      <w:start w:val="1"/>
      <w:numFmt w:val="decimal"/>
      <w:lvlText w:val="%1."/>
      <w:lvlJc w:val="left"/>
      <w:pPr>
        <w:ind w:left="720" w:hanging="360"/>
        <w:tabs>
          <w:tab w:val="num" w:pos="720"/>
        </w:tabs>
      </w:pPr>
    </w:lvl>
  </w:abstractNum>
  <w:num w:numId="17">
    <w:abstractNumId w:val="16"/>
  </w:num>
  <w:abstractNum w:abstractNumId="17">
    <w:multiLevelType w:val="singleLevel"/>
    <w:lvl w:ilvl="0">
      <w:start w:val="1"/>
      <w:numFmt w:val="bullet"/>
      <w:lvlText w:val="•"/>
      <w:lvlJc w:val="left"/>
      <w:pPr>
        <w:ind w:left="720" w:hanging="360"/>
        <w:tabs>
          <w:tab w:val="num" w:pos="720"/>
        </w:tabs>
      </w:pPr>
    </w:lvl>
  </w:abstractNum>
  <w:num w:numId="18">
    <w:abstractNumId w:val="17"/>
  </w:num>
  <w:abstractNum w:abstractNumId="18">
    <w:multiLevelType w:val="singleLevel"/>
    <w:lvl w:ilvl="0">
      <w:start w:val="1"/>
      <w:numFmt w:val="bullet"/>
      <w:lvlText w:val="•"/>
      <w:lvlJc w:val="left"/>
      <w:pPr>
        <w:ind w:left="720" w:hanging="360"/>
        <w:tabs>
          <w:tab w:val="num" w:pos="720"/>
        </w:tabs>
      </w:pPr>
    </w:lvl>
  </w:abstractNum>
  <w:num w:numId="19">
    <w:abstractNumId w:val="18"/>
  </w:num>
  <w:abstractNum w:abstractNumId="19">
    <w:multiLevelType w:val="singleLevel"/>
    <w:lvl w:ilvl="0">
      <w:start w:val="1"/>
      <w:numFmt w:val="decimal"/>
      <w:lvlText w:val="%1."/>
      <w:lvlJc w:val="left"/>
      <w:pPr>
        <w:ind w:left="720" w:hanging="360"/>
        <w:tabs>
          <w:tab w:val="num" w:pos="720"/>
        </w:tabs>
      </w:pPr>
    </w:lvl>
  </w:abstractNum>
  <w:num w:numId="20">
    <w:abstractNumId w:val="19"/>
  </w:num>
  <w:abstractNum w:abstractNumId="20">
    <w:multiLevelType w:val="singleLevel"/>
    <w:lvl w:ilvl="0">
      <w:start w:val="1"/>
      <w:numFmt w:val="bullet"/>
      <w:lvlText w:val="•"/>
      <w:lvlJc w:val="left"/>
      <w:pPr>
        <w:ind w:left="720" w:hanging="360"/>
        <w:tabs>
          <w:tab w:val="num" w:pos="720"/>
        </w:tabs>
      </w:pPr>
    </w:lvl>
  </w:abstractNum>
  <w:num w:numId="21">
    <w:abstractNumId w:val="20"/>
  </w:num>
  <w:abstractNum w:abstractNumId="21">
    <w:multiLevelType w:val="singleLevel"/>
    <w:lvl w:ilvl="0">
      <w:start w:val="1"/>
      <w:numFmt w:val="bullet"/>
      <w:lvlText w:val="•"/>
      <w:lvlJc w:val="left"/>
      <w:pPr>
        <w:ind w:left="720" w:hanging="360"/>
        <w:tabs>
          <w:tab w:val="num" w:pos="720"/>
        </w:tabs>
      </w:pPr>
    </w:lvl>
  </w:abstractNum>
  <w:num w:numId="22">
    <w:abstractNumId w:val="21"/>
  </w:num>
  <w:abstractNum w:abstractNumId="22">
    <w:multiLevelType w:val="singleLevel"/>
    <w:lvl w:ilvl="0">
      <w:start w:val="1"/>
      <w:numFmt w:val="bullet"/>
      <w:lvlText w:val="•"/>
      <w:lvlJc w:val="left"/>
      <w:pPr>
        <w:ind w:left="720" w:hanging="360"/>
        <w:tabs>
          <w:tab w:val="num" w:pos="720"/>
        </w:tabs>
      </w:pPr>
    </w:lvl>
  </w:abstractNum>
  <w:num w:numId="23">
    <w:abstractNumId w:val="22"/>
  </w:num>
  <w:abstractNum w:abstractNumId="23">
    <w:multiLevelType w:val="singleLevel"/>
    <w:lvl w:ilvl="0">
      <w:start w:val="1"/>
      <w:numFmt w:val="bullet"/>
      <w:lvlText w:val="•"/>
      <w:lvlJc w:val="left"/>
      <w:pPr>
        <w:ind w:left="720" w:hanging="360"/>
        <w:tabs>
          <w:tab w:val="num" w:pos="720"/>
        </w:tabs>
      </w:pPr>
    </w:lvl>
  </w:abstract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sz w:val="22"/>
      <w:lang w:val="hu-HU"/>
    </w:rPr>
  </w:style>
  <w:style w:type="paragraph" w:styleId="Header">
    <w:name w:val="header"/>
    <w:basedOn w:val="Normal"/>
    <w:link w:val="HeaderChar"/>
    <w:uiPriority w:val="99"/>
    <w:unhideWhenUsed/>
    <w:rsid w:val="00E618BF"/>
    <w:pPr>
      <w:widowControl/>
      <w:tabs>
        <w:tab w:val="center" w:pos="4680"/>
        <w:tab w:val="right" w:pos="9360"/>
      </w:tabs>
      <w:spacing w:after="0" w:line="240" w:lineRule="auto"/>
    </w:pPr>
    <w:rPr>
      <w:rFonts w:ascii="Calibri" w:hAnsi="Calibri"/>
      <w:color w:val="65727B"/>
      <w:sz w:val="18"/>
      <w:lang w:val="hu-HU"/>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widowControl/>
      <w:tabs>
        <w:tab w:val="center" w:pos="4680"/>
        <w:tab w:val="right" w:pos="9360"/>
      </w:tabs>
      <w:spacing w:after="0" w:line="240" w:lineRule="auto"/>
    </w:pPr>
    <w:rPr>
      <w:rFonts w:ascii="Calibri" w:hAnsi="Calibri"/>
      <w:color w:val="65727B"/>
      <w:sz w:val="18"/>
      <w:lang w:val="hu-HU"/>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20" w:after="160" w:line="264" w:lineRule="auto"/>
      <w:outlineLvl w:val="0"/>
    </w:pPr>
    <w:rPr>
      <w:rFonts w:asciiTheme="majorHAnsi" w:eastAsiaTheme="majorEastAsia" w:hAnsiTheme="majorHAnsi" w:cstheme="majorBidi" w:ascii="Calibri" w:hAnsi="Calibri"/>
      <w:b/>
      <w:bCs/>
      <w:color w:val="2E74B5"/>
      <w:sz w:val="32"/>
      <w:szCs w:val="28"/>
      <w:lang w:val="hu-HU"/>
    </w:rPr>
  </w:style>
  <w:style w:type="paragraph" w:styleId="Heading2">
    <w:name w:val="heading 2"/>
    <w:basedOn w:val="Normal"/>
    <w:next w:val="Normal"/>
    <w:link w:val="Heading2Char"/>
    <w:uiPriority w:val="9"/>
    <w:unhideWhenUsed/>
    <w:qFormat/>
    <w:rsid w:val="00FC693F"/>
    <w:pPr>
      <w:keepNext/>
      <w:keepLines/>
      <w:widowControl/>
      <w:spacing w:before="240" w:after="120" w:line="264" w:lineRule="auto"/>
      <w:outlineLvl w:val="1"/>
    </w:pPr>
    <w:rPr>
      <w:rFonts w:asciiTheme="majorHAnsi" w:eastAsiaTheme="majorEastAsia" w:hAnsiTheme="majorHAnsi" w:cstheme="majorBidi" w:ascii="Calibri" w:hAnsi="Calibri"/>
      <w:b/>
      <w:bCs/>
      <w:color w:val="2E74B5"/>
      <w:sz w:val="26"/>
      <w:szCs w:val="26"/>
      <w:lang w:val="hu-HU"/>
    </w:rPr>
  </w:style>
  <w:style w:type="paragraph" w:styleId="Heading3">
    <w:name w:val="heading 3"/>
    <w:basedOn w:val="Normal"/>
    <w:next w:val="Normal"/>
    <w:link w:val="Heading3Char"/>
    <w:uiPriority w:val="9"/>
    <w:unhideWhenUsed/>
    <w:qFormat/>
    <w:rsid w:val="00FC693F"/>
    <w:pPr>
      <w:keepNext/>
      <w:keepLines/>
      <w:widowControl/>
      <w:spacing w:before="160" w:after="80" w:line="264" w:lineRule="auto"/>
      <w:outlineLvl w:val="2"/>
    </w:pPr>
    <w:rPr>
      <w:rFonts w:asciiTheme="majorHAnsi" w:eastAsiaTheme="majorEastAsia" w:hAnsiTheme="majorHAnsi" w:cstheme="majorBidi" w:ascii="Calibri" w:hAnsi="Calibri"/>
      <w:b/>
      <w:bCs/>
      <w:color w:val="1F4D78"/>
      <w:sz w:val="24"/>
      <w:lang w:val="hu-HU"/>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80" w:line="240" w:lineRule="auto" w:before="0"/>
      <w:contextualSpacing/>
    </w:pPr>
    <w:rPr>
      <w:rFonts w:asciiTheme="majorHAnsi" w:eastAsiaTheme="majorEastAsia" w:hAnsiTheme="majorHAnsi" w:cstheme="majorBidi" w:ascii="Calibri" w:hAnsi="Calibri"/>
      <w:color w:val="17344A"/>
      <w:spacing w:val="5"/>
      <w:kern w:val="28"/>
      <w:sz w:val="46"/>
      <w:szCs w:val="52"/>
      <w:lang w:val="hu-HU"/>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before="0" w:after="200"/>
    </w:pPr>
    <w:rPr>
      <w:rFonts w:asciiTheme="majorHAnsi" w:eastAsiaTheme="majorEastAsia" w:hAnsiTheme="majorHAnsi" w:cstheme="majorBidi" w:ascii="Calibri" w:hAnsi="Calibri"/>
      <w:i/>
      <w:iCs/>
      <w:color w:val="52616B"/>
      <w:spacing w:val="15"/>
      <w:sz w:val="26"/>
      <w:szCs w:val="24"/>
      <w:lang w:val="hu-HU"/>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keepNext w:val="0"/>
      <w:widowControl/>
      <w:numPr>
        <w:numId w:val="1"/>
      </w:numPr>
      <w:spacing w:before="0" w:after="160" w:line="280" w:lineRule="auto"/>
      <w:ind w:left="720" w:hanging="360"/>
      <w:contextualSpacing/>
    </w:pPr>
    <w:rPr>
      <w:rFonts w:ascii="Calibri" w:hAnsi="Calibri"/>
      <w:sz w:val="22"/>
      <w:lang w:val="hu-HU"/>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keepNext w:val="0"/>
      <w:widowControl/>
      <w:numPr>
        <w:numId w:val="5"/>
      </w:numPr>
      <w:spacing w:before="0" w:after="160" w:line="280" w:lineRule="auto"/>
      <w:ind w:left="720" w:hanging="360"/>
      <w:contextualSpacing/>
    </w:pPr>
    <w:rPr>
      <w:rFonts w:ascii="Calibri" w:hAnsi="Calibri"/>
      <w:sz w:val="22"/>
      <w:lang w:val="hu-HU"/>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Text">
    <w:name w:val="Table Text"/>
    <w:basedOn w:val="Normal"/>
    <w:pPr>
      <w:widowControl/>
      <w:spacing w:before="0" w:after="80" w:line="264" w:lineRule="auto"/>
    </w:pPr>
    <w:rPr>
      <w:rFonts w:ascii="Calibri" w:hAnsi="Calibri"/>
      <w:sz w:val="19"/>
    </w:rPr>
  </w:style>
  <w:style w:type="paragraph" w:customStyle="1" w:styleId="SourceText">
    <w:name w:val="Source Text"/>
    <w:basedOn w:val="Normal"/>
    <w:pPr>
      <w:widowControl/>
      <w:spacing w:before="80" w:after="80" w:line="264" w:lineRule="auto"/>
    </w:pPr>
    <w:rPr>
      <w:rFonts w:ascii="Calibri" w:hAnsi="Calibri"/>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njt.jog.gov.hu/jogszabaly/2026-34-00-00" TargetMode="External"/><Relationship Id="rId12" Type="http://schemas.openxmlformats.org/officeDocument/2006/relationships/hyperlink" Target="https://mkogy.jogtar.hu/jogszabaly?docid=A2600034.TV" TargetMode="External"/><Relationship Id="rId13" Type="http://schemas.openxmlformats.org/officeDocument/2006/relationships/hyperlink" Target="https://www.parlament.hu/documents/d/guest/infojegyzet_2025_31_elkobzas-es-vagyonvisszaszerzes" TargetMode="External"/><Relationship Id="rId14" Type="http://schemas.openxmlformats.org/officeDocument/2006/relationships/hyperlink" Target="https://njt.jog.gov.hu/jogszabaly/2017-90-00-00" TargetMode="External"/><Relationship Id="rId15" Type="http://schemas.openxmlformats.org/officeDocument/2006/relationships/hyperlink" Target="https://ugyeszseg.hu/az-ugyeszsegrol/feladata/" TargetMode="External"/><Relationship Id="rId16" Type="http://schemas.openxmlformats.org/officeDocument/2006/relationships/hyperlink" Target="https://njt.jog.gov.hu/jogszabaly/2026-34-K0-00" TargetMode="External"/><Relationship Id="rId17" Type="http://schemas.openxmlformats.org/officeDocument/2006/relationships/hyperlink" Target="https://njt.jog.gov.hu/jogszabaly/1996-57-00-00" TargetMode="External"/><Relationship Id="rId18" Type="http://schemas.openxmlformats.org/officeDocument/2006/relationships/hyperlink" Target="https://njt.jog.gov.hu/jogszabaly/2012-100-00-00" TargetMode="External"/><Relationship Id="rId19" Type="http://schemas.openxmlformats.org/officeDocument/2006/relationships/hyperlink" Target="https://net.jogtar.hu/getpdf?docid=A1200100.TV&amp;printTitle=2012.+%C3%A9vi+C.+t%C3%B6rv%C3%A9ny" TargetMode="External"/><Relationship Id="rId20" Type="http://schemas.openxmlformats.org/officeDocument/2006/relationships/hyperlink" Target="https://njt.jog.gov.hu/jogszabaly/2015-143-00-00.82" TargetMode="External"/><Relationship Id="rId21" Type="http://schemas.openxmlformats.org/officeDocument/2006/relationships/hyperlink" Target="https://integritashatosag.hu/ugyek/feljelentesek/" TargetMode="External"/><Relationship Id="rId22" Type="http://schemas.openxmlformats.org/officeDocument/2006/relationships/hyperlink" Target="https://www.eppo.europa.eu/about/members/hungary_en" TargetMode="External"/><Relationship Id="rId23" Type="http://schemas.openxmlformats.org/officeDocument/2006/relationships/hyperlink" Target="https://www.consilium.europa.eu/hu/policies/eppo/" TargetMode="External"/><Relationship Id="rId24" Type="http://schemas.openxmlformats.org/officeDocument/2006/relationships/hyperlink" Target="https://eur-lex.europa.eu/legal-content/HU/ALL/?uri=CELEX%3A32026D1701" TargetMode="External"/><Relationship Id="rId25" Type="http://schemas.openxmlformats.org/officeDocument/2006/relationships/hyperlink" Target="https://eur-lex.europa.eu/legal-content/HU/TXT/PDF/?uri=OJ%3AL_202601701" TargetMode="External"/><Relationship Id="rId26" Type="http://schemas.openxmlformats.org/officeDocument/2006/relationships/hyperlink" Target="https://ugyeszseg.hu/az-ugyeszsegrol/statisztikai-adatok/ugyeszsegi-statisztikai-tajekoztato-buntetojogi-szakterulet/" TargetMode="External"/><Relationship Id="rId27" Type="http://schemas.openxmlformats.org/officeDocument/2006/relationships/hyperlink" Target="https://net.jogtar.hu/getpdf?docid=A1700090.TV&amp;printTitle=2017.+%C3%A9vi+XC.+t%C3%B6rv%C3%A9ny" TargetMode="External"/><Relationship Id="rId28" Type="http://schemas.openxmlformats.org/officeDocument/2006/relationships/hyperlink" Target="https://commission.europa.eu/law/cross-border-cases/judicial-cooperation/types-judicial-cooperation/taking-evidence-another-eu-country_en" TargetMode="External"/><Relationship Id="rId29" Type="http://schemas.openxmlformats.org/officeDocument/2006/relationships/hyperlink" Target="https://commission.europa.eu/law/cross-border-cases/judicial-cooperation/types-judicial-cooperation/e-evidence-cross-border-access-electronic-evidence_en" TargetMode="External"/><Relationship Id="rId30" Type="http://schemas.openxmlformats.org/officeDocument/2006/relationships/hyperlink" Target="https://kuria-birosag.hu/hu/sajto/tajekoztato-bhariii1602014-szamu-ugyhoz" TargetMode="External"/><Relationship Id="rId31" Type="http://schemas.openxmlformats.org/officeDocument/2006/relationships/hyperlink" Target="https://kuria-birosag.hu/hu/sajto/tajekoztato-kuria-bfvi3462016-szamu-hutlen-kezeles-es-hanyag-kezeles-elhatarolasa-targyaban" TargetMode="External"/><Relationship Id="rId32" Type="http://schemas.openxmlformats.org/officeDocument/2006/relationships/hyperlink" Target="https://kuria-birosag.hu/sites/default/files/kuriai_dontesek/bh_oktober_1016.pdf" TargetMode="External"/><Relationship Id="rId33" Type="http://schemas.openxmlformats.org/officeDocument/2006/relationships/hyperlink" Target="https://kuria-birosag.hu/hu/kuriai-dontesek/152-i-koltsegvetesbol-szarmazo-penzeszkozok-jovahagyott-celtol-eltero-felhasznalasa" TargetMode="External"/><Relationship Id="rId34" Type="http://schemas.openxmlformats.org/officeDocument/2006/relationships/hyperlink" Target="https://gvh.hu/data/cms1036313/KARTELL_ajanlatkeroknek_2017_05_24.pdf" TargetMode="External"/><Relationship Id="rId35" Type="http://schemas.openxmlformats.org/officeDocument/2006/relationships/hyperlink" Target="https://www.gvh.hu/data/cms1036296/GVH_VKK_kiadvanyok_oktatasi_anyag_kozbesz_kartell_2017.pdf" TargetMode="External"/><Relationship Id="rId36" Type="http://schemas.openxmlformats.org/officeDocument/2006/relationships/hyperlink" Target="https://eakta.birosag.hu/anonimizalt-hatarozat-pdf/?azonosito=acc47e4e-f866-453d-9d0b-077ae522fc91&amp;birosagName=K%C3%BAria&amp;ugyszam=Bfv.1124%2F2022%2F10" TargetMode="External"/><Relationship Id="rId37" Type="http://schemas.openxmlformats.org/officeDocument/2006/relationships/hyperlink" Target="https://kuria-birosag.hu/sites/default/files/kuriai_dontesek/kuriai_dontesek_-_birosagi_hatarozatok_-_2023_marcius.pdf" TargetMode="External"/><Relationship Id="rId38" Type="http://schemas.openxmlformats.org/officeDocument/2006/relationships/hyperlink" Target="https://njt.hu/jogszabaly/2025-118-K0-00.0" TargetMode="External"/><Relationship Id="rId39" Type="http://schemas.openxmlformats.org/officeDocument/2006/relationships/hyperlink" Target="https://njt.jog.gov.hu/jogszabaly/2001-104-00-00" TargetMode="External"/><Relationship Id="rId40" Type="http://schemas.openxmlformats.org/officeDocument/2006/relationships/hyperlink" Target="https://eur-lex.europa.eu/eli/dir/2016/680/oj/eng" TargetMode="External"/><Relationship Id="rId41" Type="http://schemas.openxmlformats.org/officeDocument/2006/relationships/hyperlink" Target="https://njt.jog.gov.hu/jogszabaly/2011-112-00-00" TargetMode="External"/><Relationship Id="rId42" Type="http://schemas.openxmlformats.org/officeDocument/2006/relationships/hyperlink" Target="https://eur-lex.europa.eu/eli/reg/2024/1689/oj/eng" TargetMode="External"/><Relationship Id="rId43" Type="http://schemas.openxmlformats.org/officeDocument/2006/relationships/hyperlink" Target="https://eur-lex.europa.eu/eli/reg/2026/1744/oj/eng" TargetMode="External"/><Relationship Id="rId44" Type="http://schemas.openxmlformats.org/officeDocument/2006/relationships/hyperlink" Target="https://digital-strategy.ec.europa.eu/en/policies/regulatory-framework-ai" TargetMode="External"/><Relationship Id="rId45" Type="http://schemas.openxmlformats.org/officeDocument/2006/relationships/hyperlink" Target="https://questions-statements.parliament.uk/written-questions/detail/2025-01-27/26405" TargetMode="External"/><Relationship Id="rId46" Type="http://schemas.openxmlformats.org/officeDocument/2006/relationships/hyperlink" Target="https://www.relativity.com/data-solutions/air/review/" TargetMode="External"/><Relationship Id="rId47" Type="http://schemas.openxmlformats.org/officeDocument/2006/relationships/hyperlink" Target="https://help.relativity.com/RelativityOne/Content/Relativity/aiR_for_Review/aiR_for_Review.htm" TargetMode="External"/><Relationship Id="rId48" Type="http://schemas.openxmlformats.org/officeDocument/2006/relationships/hyperlink" Target="https://help.relativity.com/RelativityOne/Content/Relativity/aiR_for_Review/aiR_for_Review_results.htm" TargetMode="External"/><Relationship Id="rId49" Type="http://schemas.openxmlformats.org/officeDocument/2006/relationships/hyperlink" Target="https://www.nuix.com/solutions/fraud-investigations" TargetMode="External"/><Relationship Id="rId50" Type="http://schemas.openxmlformats.org/officeDocument/2006/relationships/hyperlink" Target="https://cellebrite.com/en/products/pathfinder/" TargetMode="External"/><Relationship Id="rId51" Type="http://schemas.openxmlformats.org/officeDocument/2006/relationships/hyperlink" Target="https://cellebrite.com/en/resources/press-releases/cellebrite-enhances-investigative-analytics-solution-with-amazon-web-services-aws/" TargetMode="External"/><Relationship Id="rId52" Type="http://schemas.openxmlformats.org/officeDocument/2006/relationships/hyperlink" Target="https://www.magnetforensics.com/magnet-ai/" TargetMode="External"/><Relationship Id="rId53" Type="http://schemas.openxmlformats.org/officeDocument/2006/relationships/hyperlink" Target="https://www.magnetforensics.com/blog/accelerating-investigations-with-ai-using-magnet-copilot-in-magnet-axiom/" TargetMode="External"/><Relationship Id="rId54" Type="http://schemas.openxmlformats.org/officeDocument/2006/relationships/hyperlink" Target="https://www.everlaw.com/product/everlaw-ai/" TargetMode="External"/><Relationship Id="rId55" Type="http://schemas.openxmlformats.org/officeDocument/2006/relationships/hyperlink" Target="https://www.everlaw.com/product/everlaw-ai/writing-assistant/" TargetMode="External"/><Relationship Id="rId56" Type="http://schemas.openxmlformats.org/officeDocument/2006/relationships/hyperlink" Target="https://www.wolterskluwer.com/hu-hu/expert-insights/ai-jogaszoknak-libra-wolters-kluwer-jogtar-tartalommal" TargetMode="External"/><Relationship Id="rId57" Type="http://schemas.openxmlformats.org/officeDocument/2006/relationships/hyperlink" Target="https://nav.gov.hu/penzmosas/kerdesek-es-valaszok/%24rppid0x1484150x112_pageNumber/2" TargetMode="External"/><Relationship Id="rId58" Type="http://schemas.openxmlformats.org/officeDocument/2006/relationships/hyperlink" Target="https://kny.nav.gov.hu/assets/files/2021_XLIII_t%C3%B6rv%C3%A9ny_Afad_tv.pdf" TargetMode="External"/><Relationship Id="rId59" Type="http://schemas.openxmlformats.org/officeDocument/2006/relationships/hyperlink" Target="https://kozbeszerzes.hu/media/documents/eves-beszamolo_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Állami korrupciós ügyek gyorsítása AI-támogatással</dc:title>
  <dc:subject>Magyar jogi, nyomozati és technológiai döntés-előkészítő munkaanyag</dc:subject>
  <dc:creator>Kutatási munkaanyag</dc:creator>
  <cp:keywords>közpénz, korrupció, ügyészség, nyomozás, AI, NVVH</cp:keywords>
  <dc:description>generated by python-docx</dc:description>
  <cp:lastModifiedBy/>
  <cp:revision>1</cp:revision>
  <dcterms:created xsi:type="dcterms:W3CDTF">2026-08-30T00:00:00Z</dcterms:created>
  <dcterms:modified xsi:type="dcterms:W3CDTF">2026-08-30T00:00:00Z</dcterms:modified>
  <cp:category/>
</cp:coreProperties>
</file>